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Health Catalyst,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Stoney Lonesome HF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6,079,539.00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6,079,539.00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6,079,539.00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COGHILL CAPITAL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6,079,539.00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6,079,539.00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6,079,539.00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Drake Helix Holdings,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227,706.00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227,706.00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227,706.00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CDC Financial,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6,307,245.00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6,307,245.00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6,307,245.00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COGHILL CLINT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6,307,245.00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6,307,245.00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6,308,345.00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Health Catalyst,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10897 SOUTH RIVER FRONT PARKWAY, #300, SOUTH JORDAN, UT, 84095</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Stoney Lonesome HF LP, a Delaware limited partnership ("Stoney Lonesome"), with respect to the shares of Common Stock, par value $0.001 per share, of the Issuer (the "Shares") directly and beneficially owned by it; (ii) Coghill Capital Management, LLC, a Delaware limited liability company ("CCM"), as the general partner of Stoney Lonesome; (iii) The Drake Helix Holdings, LLC, a Wyoming limited liability company ("Drake Helix"), with respect to the Shares directly and beneficially owned by it; (iv) CDC Financial, Inc., an Illinois corporation ("CDC Financial"), as the managing member of each of CCM and Drake Helix; and (v) Clint D. Coghill, with respect to the Shares directly and beneficially owned by him and as the President and sole shareholder of CDC Financial.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222 S Riverside Plaza, 15th Floor, Chicago, Illinois 60606.</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Each of Stoney Lonesome and CCM is organized under the laws of the State of Delaware. Drake Helix is organized under the laws of the State of Wyoming. CDC Financial is organized under the laws of the State of Illinois. Mr. Coghill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2026: (i) Stoney Lonesome directly beneficially owned 6,079,539 Shares; (ii) CCM, as the general partner of Stoney Lonesome, may be deemed the beneficial owner of the 6,079,539 Shares directly beneficially owned by Stoney Lonesome; (iii) Drake Helix directly beneficially owned 227,706 Shares; (iv) CDC Financial, as the managing member of each of CCM and Drake Helix, may be deemed the beneficial owner of the 6,079,539 Shares directly beneficially owned by Stoney Lonesome and the 227,706 Shares directly beneficially owned by Drake Helix; and (v) Mr. Coghill directly beneficially owned 1,100 Shares. As the President and sole shareholder of CDC Financial, Mr. Coghill may also be deemed the beneficial owner of the 6,079,539 Shares directly beneficially owned by Stoney Lonesome and the 227,706 Shares directly beneficially owned by Drake Helix. The filing of this Schedule 13G shall not be deemed an admission that the Reporting Persons are, for purposes of Section 13(d) of the Securities Exchange Act of 1934, as amended, the beneficial owners of any securities of the Issuer that such Reporting Person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73,586,183 Shares outstanding as of March 5, 2026, which is the total number of Shares outstanding as disclosed in the Issuer's Annual Report on Form 10-K filed with the Securities and Exchange Commission on March 12, 2026. As of the close of business on March 31, 2026, (i) Stoney Lonesome beneficially owned approximately 8.3% of the outstanding Shares, (ii) CCM may be deemed to beneficially own approximately 8.3% of the outstanding Shares, (iii) Drake Helix beneficially owned approximately 0.3% of the outstanding Shares, (iv) CDC Financial may be deemed to beneficially own approximately 8.6% of the outstanding Shares and (v) Mr. Coghill may be deemed to beneficially own approximately 8.6%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December 22, 2025.</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Stoney Lonesome HF LP</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Clint D. Coghill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Clint D. Coghill, President and sole shareholder of the managing member of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9706" w:type="dxa"/>
        <w:jc w:val="left"/>
        <w:tblInd w:w="0" w:type="dxa"/>
        <w:tblLayout w:type="fixed"/>
        <w:tblCellMar>
          <w:top w:w="28" w:type="dxa"/>
          <w:left w:w="28" w:type="dxa"/>
          <w:bottom w:w="28" w:type="dxa"/>
          <w:right w:w="28" w:type="dxa"/>
        </w:tblCellMar>
      </w:tblPr>
      <w:tblGrid>
        <w:gridCol w:w="4853"/>
        <w:gridCol w:w="4853"/>
      </w:tblGrid>
      <w:tr>
        <w:trPr/>
        <w:tc>
          <w:tcPr>
            <w:tcW w:w="4853" w:type="dxa"/>
            <w:tcBorders/>
            <w:vAlign w:val="center"/>
          </w:tcPr>
          <w:p>
            <w:pPr>
              <w:pStyle w:val="TableContents"/>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0"/>
                    <w:jc w:val="left"/>
                    <w:rPr/>
                  </w:pPr>
                  <w:r>
                    <w:rPr/>
                    <w:t>COGHILL CAPITAL MANAGEMENT LLC</w:t>
                  </w:r>
                </w:p>
              </w:tc>
            </w:tr>
          </w:tbl>
          <w:p>
            <w:pPr>
              <w:pStyle w:val="TableContents"/>
              <w:bidi w:val="0"/>
              <w:spacing w:before="0" w:after="283"/>
              <w:jc w:val="left"/>
              <w:rPr/>
            </w:pPr>
            <w:r>
              <w:rPr/>
            </w:r>
          </w:p>
        </w:tc>
        <w:tc>
          <w:tcPr>
            <w:tcW w:w="48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Clint D. Coghill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Clint D. Coghill, President and sole shareholder of its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Drake Helix Holdings,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Clint D. Coghill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Clint D. Coghill, President and sole shareholder of its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CDC Financial, Inc.</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Clint D. Coghill</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Clint D. Coghill, President and sole shareholder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COGHILL CLINT D</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Clint D. Coghill</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Clint D. Coghill</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1889</Words>
  <Characters>9787</Characters>
  <CharactersWithSpaces>11586</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