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360"/>
        <w:jc w:val="both"/>
        <w:rPr/>
      </w:pPr>
      <w:r>
        <w:rPr/>
      </w:r>
    </w:p>
    <w:p>
      <w:pPr>
        <w:pStyle w:val="TextBody"/>
        <w:bidi w:val="0"/>
        <w:spacing w:lineRule="auto" w:line="288" w:before="0" w:after="0"/>
        <w:jc w:val="right"/>
        <w:rPr>
          <w:color w:val="FFFFFF"/>
        </w:rPr>
      </w:pPr>
      <w:r>
        <w:rPr>
          <w:color w:val="FFFFFF"/>
        </w:rPr>
        <w:t>    </w:t>
      </w:r>
      <w:r>
        <w:rPr>
          <w:rFonts w:ascii="Times New Roman;sans-serif" w:hAnsi="Times New Roman;sans-serif"/>
          <w:b w:val="false"/>
          <w:color w:val="FFFFFF"/>
          <w:sz w:val="20"/>
        </w:rPr>
        <w:t>.</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________________</w:t>
      </w:r>
    </w:p>
    <w:p>
      <w:pPr>
        <w:pStyle w:val="TextBody"/>
        <w:bidi w:val="0"/>
        <w:spacing w:lineRule="auto" w:line="288" w:before="18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________________</w:t>
      </w:r>
    </w:p>
    <w:p>
      <w:pPr>
        <w:pStyle w:val="TextBody"/>
        <w:bidi w:val="0"/>
        <w:spacing w:lineRule="auto" w:line="288" w:before="0" w:after="24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p>
      <w:pPr>
        <w:pStyle w:val="TextBody"/>
        <w:bidi w:val="0"/>
        <w:spacing w:lineRule="auto" w:line="288" w:before="0" w:after="120"/>
        <w:jc w:val="left"/>
        <w:rPr/>
      </w:pPr>
      <w:r>
        <w:rPr>
          <w:color w:val="000000"/>
        </w:rPr>
        <w:t>☒   </w:t>
      </w:r>
      <w:r>
        <w:rPr>
          <w:rFonts w:ascii="Times New Roman;sans-serif" w:hAnsi="Times New Roman;sans-serif"/>
          <w:b/>
          <w:color w:val="000000"/>
          <w:sz w:val="18"/>
        </w:rPr>
        <w:t>QUARTERLY REPORT PURSUANT TO SECTION 13 OR 15(d) OF THE SECURITIES EXCHANGE ACT OF 1934</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June 30, 2024 </w:t>
      </w:r>
    </w:p>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Or</w:t>
      </w:r>
    </w:p>
    <w:p>
      <w:pPr>
        <w:pStyle w:val="TextBody"/>
        <w:bidi w:val="0"/>
        <w:spacing w:lineRule="auto" w:line="288" w:before="0" w:after="60"/>
        <w:jc w:val="left"/>
        <w:rPr/>
      </w:pPr>
      <w:r>
        <w:rPr>
          <w:color w:val="000000"/>
        </w:rPr>
        <w:t>☐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0" w:after="240"/>
        <w:jc w:val="center"/>
        <w:rPr>
          <w:rFonts w:ascii="Times New Roman;sans-serif" w:hAnsi="Times New Roman;sans-serif"/>
          <w:b w:val="false"/>
          <w:color w:val="000000"/>
          <w:sz w:val="18"/>
        </w:rPr>
      </w:pPr>
      <w:r>
        <w:rPr>
          <w:rFonts w:ascii="Times New Roman;sans-serif" w:hAnsi="Times New Roman;sans-serif"/>
          <w:b w:val="false"/>
          <w:color w:val="000000"/>
          <w:sz w:val="18"/>
        </w:rPr>
        <w:t>For the transition period from _____ to _____</w:t>
      </w:r>
    </w:p>
    <w:p>
      <w:pPr>
        <w:pStyle w:val="TextBody"/>
        <w:bidi w:val="0"/>
        <w:spacing w:lineRule="auto" w:line="288" w:before="0" w:after="24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Commission File Number: 001-38993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HEALTH CATALYST, INC.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(Exact name of registrant as specified in its charter)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w:t>
      </w:r>
    </w:p>
    <w:tbl>
      <w:tblPr>
        <w:tblW w:w="4332"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516"/>
        <w:gridCol w:w="516"/>
        <w:gridCol w:w="738"/>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center"/>
              <w:rPr/>
            </w:pPr>
            <w:r>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45-3337483</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Number)</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10897 South River Front Parkway #300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South Jordan UT 84095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(Address of principal executive offices, including zip code)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(801) 708-6800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________________</w:t>
      </w:r>
    </w:p>
    <w:p>
      <w:pPr>
        <w:pStyle w:val="TextBody"/>
        <w:bidi w:val="0"/>
        <w:spacing w:lineRule="auto" w:line="288" w:before="0" w:after="24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453" w:type="dxa"/>
        <w:jc w:val="center"/>
        <w:tblInd w:w="0" w:type="dxa"/>
        <w:tblLayout w:type="fixed"/>
        <w:tblCellMar>
          <w:top w:w="28" w:type="dxa"/>
          <w:left w:w="28" w:type="dxa"/>
          <w:bottom w:w="28" w:type="dxa"/>
          <w:right w:w="28" w:type="dxa"/>
        </w:tblCellMar>
      </w:tblPr>
      <w:tblGrid>
        <w:gridCol w:w="1238"/>
        <w:gridCol w:w="1091"/>
        <w:gridCol w:w="1106"/>
        <w:gridCol w:w="109"/>
        <w:gridCol w:w="109"/>
        <w:gridCol w:w="109"/>
        <w:gridCol w:w="484"/>
        <w:gridCol w:w="484"/>
        <w:gridCol w:w="486"/>
        <w:gridCol w:w="109"/>
        <w:gridCol w:w="109"/>
        <w:gridCol w:w="109"/>
        <w:gridCol w:w="851"/>
        <w:gridCol w:w="851"/>
        <w:gridCol w:w="1208"/>
      </w:tblGrid>
      <w:tr>
        <w:trPr/>
        <w:tc>
          <w:tcPr>
            <w:tcW w:w="123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exchange on which registered</w:t>
            </w:r>
          </w:p>
        </w:tc>
      </w:tr>
      <w:tr>
        <w:trPr/>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HCAT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Global Select Market</w:t>
            </w:r>
          </w:p>
        </w:tc>
      </w:tr>
    </w:tbl>
    <w:p>
      <w:pPr>
        <w:pStyle w:val="TextBody"/>
        <w:bidi w:val="0"/>
        <w:spacing w:lineRule="auto" w:line="288" w:before="0" w:after="240"/>
        <w:ind w:left="0" w:right="0" w:firstLine="360"/>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lineRule="auto" w:line="288" w:before="0" w:after="240"/>
        <w:ind w:left="0" w:right="0" w:firstLine="36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75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09"/>
        <w:gridCol w:w="679"/>
        <w:gridCol w:w="679"/>
        <w:gridCol w:w="681"/>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As of August 5, 2024, the Registrant had 60,470,248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6"/>
        <w:gridCol w:w="220"/>
        <w:gridCol w:w="220"/>
        <w:gridCol w:w="2915"/>
        <w:gridCol w:w="2817"/>
        <w:gridCol w:w="2826"/>
        <w:gridCol w:w="267"/>
        <w:gridCol w:w="267"/>
        <w:gridCol w:w="387"/>
      </w:tblGrid>
      <w:tr>
        <w:trPr/>
        <w:tc>
          <w:tcPr>
            <w:tcW w:w="2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Page</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7dff74dc7fcf4fb7b842a26e97102601_13">
              <w:r>
                <w:rPr>
                  <w:rStyle w:val="InternetLink"/>
                  <w:rFonts w:ascii="Times New Roman;sans-serif" w:hAnsi="Times New Roman;sans-serif"/>
                  <w:b w:val="false"/>
                  <w:color w:val="0E32E1"/>
                  <w:sz w:val="20"/>
                  <w:u w:val="single"/>
                </w:rPr>
                <w:t>Part I. Financial Information</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6">
              <w:r>
                <w:rPr>
                  <w:rStyle w:val="InternetLink"/>
                  <w:rFonts w:ascii="Times New Roman;sans-serif" w:hAnsi="Times New Roman;sans-serif"/>
                  <w:b w:val="false"/>
                  <w:color w:val="0E32E1"/>
                  <w:sz w:val="20"/>
                  <w:u w:val="single"/>
                </w:rPr>
                <w:t>Item 1.</w:t>
              </w:r>
            </w:hyperlink>
          </w:p>
        </w:tc>
        <w:tc>
          <w:tcPr>
            <w:tcW w:w="8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6">
              <w:r>
                <w:rPr>
                  <w:rStyle w:val="InternetLink"/>
                  <w:rFonts w:ascii="Times New Roman;sans-serif" w:hAnsi="Times New Roman;sans-serif"/>
                  <w:b w:val="false"/>
                  <w:color w:val="0E32E1"/>
                  <w:sz w:val="20"/>
                  <w:u w:val="single"/>
                </w:rPr>
                <w:t>Financial Statements</w:t>
              </w:r>
            </w:hyperlink>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7dff74dc7fcf4fb7b842a26e97102601_16">
              <w:r>
                <w:rPr>
                  <w:rStyle w:val="InternetLink"/>
                  <w:rFonts w:ascii="Times New Roman;sans-serif" w:hAnsi="Times New Roman;sans-serif"/>
                  <w:b w:val="false"/>
                  <w:color w:val="0E32E1"/>
                  <w:sz w:val="20"/>
                  <w:u w:val="single"/>
                </w:rPr>
                <w:t>4</w:t>
              </w:r>
            </w:hyperlink>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9">
              <w:r>
                <w:rPr>
                  <w:rStyle w:val="InternetLink"/>
                  <w:rFonts w:ascii="Times New Roman;sans-serif" w:hAnsi="Times New Roman;sans-serif"/>
                  <w:b w:val="false"/>
                  <w:color w:val="000080"/>
                  <w:sz w:val="20"/>
                  <w:u w:val="single"/>
                </w:rPr>
                <w:t xml:space="preserve">Condensed Consolidated Balance Sheets as of </w:t>
              </w:r>
            </w:hyperlink>
            <w:r>
              <w:rPr>
                <w:rFonts w:ascii="Times New Roman;sans-serif" w:hAnsi="Times New Roman;sans-serif"/>
                <w:b w:val="false"/>
                <w:color w:val="0E32E1"/>
                <w:sz w:val="20"/>
                <w:u w:val="single"/>
              </w:rPr>
              <w:t xml:space="preserve">June 30, 2024 </w:t>
            </w:r>
            <w:hyperlink w:anchor="i7dff74dc7fcf4fb7b842a26e97102601_19">
              <w:r>
                <w:rPr>
                  <w:rStyle w:val="InternetLink"/>
                  <w:rFonts w:ascii="Times New Roman;sans-serif" w:hAnsi="Times New Roman;sans-serif"/>
                  <w:b w:val="false"/>
                  <w:color w:val="000080"/>
                  <w:sz w:val="20"/>
                  <w:u w:val="single"/>
                </w:rPr>
                <w:t xml:space="preserve">(unaudited) and </w:t>
              </w:r>
            </w:hyperlink>
            <w:r>
              <w:rPr>
                <w:rFonts w:ascii="Times New Roman;sans-serif" w:hAnsi="Times New Roman;sans-serif"/>
                <w:b w:val="false"/>
                <w:color w:val="0E32E1"/>
                <w:sz w:val="20"/>
                <w:u w:val="single"/>
              </w:rPr>
              <w:t>December 31, 2023</w:t>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7dff74dc7fcf4fb7b842a26e97102601_19">
              <w:r>
                <w:rPr>
                  <w:rStyle w:val="InternetLink"/>
                  <w:rFonts w:ascii="Times New Roman;sans-serif" w:hAnsi="Times New Roman;sans-serif"/>
                  <w:b w:val="false"/>
                  <w:color w:val="0E32E1"/>
                  <w:sz w:val="20"/>
                  <w:u w:val="single"/>
                </w:rPr>
                <w:t>4</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CCEEFF" w:val="clear"/>
            <w:tcMar>
              <w:top w:w="0" w:type="dxa"/>
              <w:left w:w="0" w:type="dxa"/>
              <w:bottom w:w="0" w:type="dxa"/>
              <w:right w:w="0" w:type="dxa"/>
            </w:tcMar>
            <w:vAlign w:val="center"/>
          </w:tcPr>
          <w:p>
            <w:pPr>
              <w:pStyle w:val="TableContents"/>
              <w:bidi w:val="0"/>
              <w:spacing w:lineRule="auto" w:line="288" w:before="0" w:after="240"/>
              <w:ind w:left="0" w:right="0" w:hanging="180"/>
              <w:jc w:val="left"/>
              <w:rPr/>
            </w:pPr>
            <w:hyperlink w:anchor="i7dff74dc7fcf4fb7b842a26e97102601_22">
              <w:r>
                <w:rPr>
                  <w:rStyle w:val="InternetLink"/>
                  <w:rFonts w:ascii="Times New Roman;sans-serif" w:hAnsi="Times New Roman;sans-serif"/>
                  <w:b w:val="false"/>
                  <w:color w:val="000080"/>
                  <w:sz w:val="20"/>
                  <w:u w:val="single"/>
                </w:rPr>
                <w:t>Condensed Consolidated Statements of Operations for the</w:t>
              </w:r>
            </w:hyperlink>
            <w:hyperlink w:anchor="i7dff74dc7fcf4fb7b842a26e97102601_22">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E32E1"/>
                <w:sz w:val="20"/>
                <w:u w:val="single"/>
              </w:rPr>
              <w:t>Three and Six Months Ended</w:t>
            </w:r>
            <w:hyperlink w:anchor="i7dff74dc7fcf4fb7b842a26e97102601_22">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E32E1"/>
                <w:sz w:val="20"/>
                <w:u w:val="single"/>
              </w:rPr>
              <w:t xml:space="preserve">June 30, 2024 </w:t>
            </w:r>
            <w:hyperlink w:anchor="i7dff74dc7fcf4fb7b842a26e97102601_22">
              <w:r>
                <w:rPr>
                  <w:rStyle w:val="InternetLink"/>
                  <w:rFonts w:ascii="Times New Roman;sans-serif" w:hAnsi="Times New Roman;sans-serif"/>
                  <w:b w:val="false"/>
                  <w:color w:val="000080"/>
                  <w:sz w:val="20"/>
                  <w:u w:val="single"/>
                </w:rPr>
                <w:t xml:space="preserve">and </w:t>
              </w:r>
            </w:hyperlink>
            <w:r>
              <w:rPr>
                <w:rFonts w:ascii="Times New Roman;sans-serif" w:hAnsi="Times New Roman;sans-serif"/>
                <w:b w:val="false"/>
                <w:color w:val="0E32E1"/>
                <w:sz w:val="20"/>
                <w:u w:val="single"/>
              </w:rPr>
              <w:t xml:space="preserve">2023 </w:t>
            </w:r>
            <w:hyperlink w:anchor="i7dff74dc7fcf4fb7b842a26e97102601_22">
              <w:r>
                <w:rPr>
                  <w:rStyle w:val="InternetLink"/>
                  <w:rFonts w:ascii="Times New Roman;sans-serif" w:hAnsi="Times New Roman;sans-serif"/>
                  <w:b w:val="false"/>
                  <w:color w:val="000080"/>
                  <w:sz w:val="20"/>
                  <w:u w:val="single"/>
                </w:rPr>
                <w:t>(</w:t>
              </w:r>
            </w:hyperlink>
            <w:hyperlink w:anchor="i7dff74dc7fcf4fb7b842a26e97102601_22">
              <w:r>
                <w:rPr>
                  <w:rStyle w:val="InternetLink"/>
                  <w:rFonts w:ascii="Times New Roman;sans-serif" w:hAnsi="Times New Roman;sans-serif"/>
                  <w:b w:val="false"/>
                  <w:color w:val="000080"/>
                  <w:sz w:val="20"/>
                  <w:u w:val="single"/>
                </w:rPr>
                <w:t>unaudited</w:t>
              </w:r>
            </w:hyperlink>
            <w:hyperlink w:anchor="i7dff74dc7fcf4fb7b842a26e97102601_22">
              <w:r>
                <w:rPr>
                  <w:rStyle w:val="InternetLink"/>
                  <w:rFonts w:ascii="Times New Roman;sans-serif" w:hAnsi="Times New Roman;sans-serif"/>
                  <w:b w:val="false"/>
                  <w:color w:val="000080"/>
                  <w:sz w:val="20"/>
                  <w:u w:val="single"/>
                </w:rPr>
                <w:t>)</w:t>
              </w:r>
            </w:hyperlink>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7dff74dc7fcf4fb7b842a26e97102601_22">
              <w:r>
                <w:rPr>
                  <w:rStyle w:val="InternetLink"/>
                  <w:rFonts w:ascii="Times New Roman;sans-serif" w:hAnsi="Times New Roman;sans-serif"/>
                  <w:b w:val="false"/>
                  <w:color w:val="0E32E1"/>
                  <w:sz w:val="20"/>
                  <w:u w:val="single"/>
                </w:rPr>
                <w:t>6</w:t>
              </w:r>
            </w:hyperlink>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25">
              <w:r>
                <w:rPr>
                  <w:rStyle w:val="InternetLink"/>
                  <w:rFonts w:ascii="Times New Roman;sans-serif" w:hAnsi="Times New Roman;sans-serif"/>
                  <w:b w:val="false"/>
                  <w:color w:val="000080"/>
                  <w:sz w:val="20"/>
                  <w:u w:val="single"/>
                </w:rPr>
                <w:t>Condensed Consolidated Statements of Comprehensive Loss for the</w:t>
              </w:r>
            </w:hyperlink>
            <w:r>
              <w:rPr>
                <w:rFonts w:ascii="Times New Roman;sans-serif" w:hAnsi="Times New Roman;sans-serif"/>
                <w:b w:val="false"/>
                <w:color w:val="0E32E1"/>
                <w:sz w:val="20"/>
                <w:u w:val="single"/>
              </w:rPr>
              <w:t xml:space="preserve"> Three and Six Months Ended</w:t>
            </w:r>
            <w:hyperlink w:anchor="i7dff74dc7fcf4fb7b842a26e97102601_22">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E32E1"/>
                <w:sz w:val="20"/>
                <w:u w:val="single"/>
              </w:rPr>
              <w:t xml:space="preserve">June 30, 2024 and 2023 </w:t>
            </w:r>
            <w:hyperlink w:anchor="i7dff74dc7fcf4fb7b842a26e97102601_25">
              <w:r>
                <w:rPr>
                  <w:rStyle w:val="InternetLink"/>
                  <w:rFonts w:ascii="Times New Roman;sans-serif" w:hAnsi="Times New Roman;sans-serif"/>
                  <w:b w:val="false"/>
                  <w:color w:val="000080"/>
                  <w:sz w:val="20"/>
                  <w:u w:val="single"/>
                </w:rPr>
                <w:t>(unaudited)</w:t>
              </w:r>
            </w:hyperlink>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7dff74dc7fcf4fb7b842a26e97102601_25">
              <w:r>
                <w:rPr>
                  <w:rStyle w:val="InternetLink"/>
                  <w:rFonts w:ascii="Times New Roman;sans-serif" w:hAnsi="Times New Roman;sans-serif"/>
                  <w:b w:val="false"/>
                  <w:color w:val="0E32E1"/>
                  <w:sz w:val="20"/>
                  <w:u w:val="single"/>
                </w:rPr>
                <w:t>7</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CCEEFF" w:val="clear"/>
            <w:tcMar>
              <w:top w:w="0" w:type="dxa"/>
              <w:left w:w="0" w:type="dxa"/>
              <w:bottom w:w="0" w:type="dxa"/>
              <w:right w:w="0" w:type="dxa"/>
            </w:tcMar>
            <w:vAlign w:val="center"/>
          </w:tcPr>
          <w:p>
            <w:pPr>
              <w:pStyle w:val="TableContents"/>
              <w:bidi w:val="0"/>
              <w:spacing w:lineRule="auto" w:line="288" w:before="0" w:after="240"/>
              <w:ind w:left="0" w:right="0" w:hanging="180"/>
              <w:jc w:val="left"/>
              <w:rPr/>
            </w:pPr>
            <w:hyperlink w:anchor="i7dff74dc7fcf4fb7b842a26e97102601_28">
              <w:r>
                <w:rPr>
                  <w:rStyle w:val="InternetLink"/>
                  <w:rFonts w:ascii="Times New Roman;sans-serif" w:hAnsi="Times New Roman;sans-serif"/>
                  <w:b w:val="false"/>
                  <w:color w:val="000080"/>
                  <w:sz w:val="20"/>
                  <w:u w:val="single"/>
                </w:rPr>
                <w:t xml:space="preserve">Condensed Consolidated Statements of Stockholders’ Equity for the </w:t>
              </w:r>
            </w:hyperlink>
            <w:r>
              <w:rPr>
                <w:rFonts w:ascii="Times New Roman;sans-serif" w:hAnsi="Times New Roman;sans-serif"/>
                <w:b w:val="false"/>
                <w:color w:val="0E32E1"/>
                <w:sz w:val="20"/>
                <w:u w:val="single"/>
              </w:rPr>
              <w:t>Three and Six Months Ended</w:t>
            </w:r>
            <w:hyperlink w:anchor="i7dff74dc7fcf4fb7b842a26e97102601_22">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E32E1"/>
                <w:sz w:val="20"/>
                <w:u w:val="single"/>
              </w:rPr>
              <w:t>June 30, 2024</w:t>
            </w:r>
            <w:hyperlink w:anchor="i7dff74dc7fcf4fb7b842a26e97102601_28">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E32E1"/>
                <w:sz w:val="20"/>
                <w:u w:val="single"/>
              </w:rPr>
              <w:t>2023</w:t>
            </w:r>
            <w:hyperlink w:anchor="i7dff74dc7fcf4fb7b842a26e97102601_28">
              <w:r>
                <w:rPr>
                  <w:rStyle w:val="InternetLink"/>
                  <w:rFonts w:ascii="Times New Roman;sans-serif" w:hAnsi="Times New Roman;sans-serif"/>
                  <w:b w:val="false"/>
                  <w:color w:val="000080"/>
                  <w:sz w:val="20"/>
                  <w:u w:val="single"/>
                </w:rPr>
                <w:t xml:space="preserve"> (unaudited)</w:t>
              </w:r>
            </w:hyperlink>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7dff74dc7fcf4fb7b842a26e97102601_28">
              <w:r>
                <w:rPr>
                  <w:rStyle w:val="InternetLink"/>
                  <w:rFonts w:ascii="Times New Roman;sans-serif" w:hAnsi="Times New Roman;sans-serif"/>
                  <w:b w:val="false"/>
                  <w:color w:val="0E32E1"/>
                  <w:sz w:val="20"/>
                  <w:u w:val="single"/>
                </w:rPr>
                <w:t>8</w:t>
              </w:r>
            </w:hyperlink>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31">
              <w:r>
                <w:rPr>
                  <w:rStyle w:val="InternetLink"/>
                  <w:rFonts w:ascii="Times New Roman;sans-serif" w:hAnsi="Times New Roman;sans-serif"/>
                  <w:b w:val="false"/>
                  <w:color w:val="000080"/>
                  <w:sz w:val="20"/>
                  <w:u w:val="single"/>
                </w:rPr>
                <w:t xml:space="preserve">Condensed Consolidated Statements of Cash Flows for the </w:t>
              </w:r>
            </w:hyperlink>
            <w:r>
              <w:rPr>
                <w:rFonts w:ascii="Times New Roman;sans-serif" w:hAnsi="Times New Roman;sans-serif"/>
                <w:b w:val="false"/>
                <w:color w:val="0E32E1"/>
                <w:sz w:val="20"/>
                <w:u w:val="single"/>
              </w:rPr>
              <w:t>Six Months Ended June 30, 2024</w:t>
            </w:r>
            <w:hyperlink w:anchor="i7dff74dc7fcf4fb7b842a26e97102601_31">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E32E1"/>
                <w:sz w:val="20"/>
                <w:u w:val="single"/>
              </w:rPr>
              <w:t>2023</w:t>
            </w:r>
            <w:hyperlink w:anchor="i7dff74dc7fcf4fb7b842a26e97102601_31">
              <w:r>
                <w:rPr>
                  <w:rStyle w:val="InternetLink"/>
                  <w:rFonts w:ascii="Times New Roman;sans-serif" w:hAnsi="Times New Roman;sans-serif"/>
                  <w:b w:val="false"/>
                  <w:color w:val="000080"/>
                  <w:sz w:val="20"/>
                  <w:u w:val="single"/>
                </w:rPr>
                <w:t xml:space="preserve"> (unaudited)</w:t>
              </w:r>
            </w:hyperlink>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7dff74dc7fcf4fb7b842a26e97102601_31">
              <w:r>
                <w:rPr>
                  <w:rStyle w:val="InternetLink"/>
                  <w:rFonts w:ascii="Times New Roman;sans-serif" w:hAnsi="Times New Roman;sans-serif"/>
                  <w:b w:val="false"/>
                  <w:color w:val="0E32E1"/>
                  <w:sz w:val="20"/>
                  <w:u w:val="single"/>
                </w:rPr>
                <w:t>10</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34">
              <w:r>
                <w:rPr>
                  <w:rStyle w:val="InternetLink"/>
                  <w:rFonts w:ascii="Times New Roman;sans-serif" w:hAnsi="Times New Roman;sans-serif"/>
                  <w:b w:val="false"/>
                  <w:color w:val="0E32E1"/>
                  <w:sz w:val="20"/>
                  <w:u w:val="single"/>
                </w:rPr>
                <w:t>Notes to the Condensed Consolidated Financial Statements (unaudited)</w:t>
              </w:r>
            </w:hyperlink>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7dff74dc7fcf4fb7b842a26e97102601_34">
              <w:r>
                <w:rPr>
                  <w:rStyle w:val="InternetLink"/>
                  <w:rFonts w:ascii="Times New Roman;sans-serif" w:hAnsi="Times New Roman;sans-serif"/>
                  <w:b w:val="false"/>
                  <w:color w:val="0E32E1"/>
                  <w:sz w:val="20"/>
                  <w:u w:val="single"/>
                </w:rPr>
                <w:t>12</w:t>
              </w:r>
            </w:hyperlink>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03">
              <w:r>
                <w:rPr>
                  <w:rStyle w:val="InternetLink"/>
                  <w:rFonts w:ascii="Times New Roman;sans-serif" w:hAnsi="Times New Roman;sans-serif"/>
                  <w:b w:val="false"/>
                  <w:color w:val="0E32E1"/>
                  <w:sz w:val="20"/>
                  <w:u w:val="single"/>
                </w:rPr>
                <w:t>Item 2.</w:t>
              </w:r>
            </w:hyperlink>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03">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7dff74dc7fcf4fb7b842a26e97102601_103">
              <w:r>
                <w:rPr>
                  <w:rStyle w:val="InternetLink"/>
                  <w:rFonts w:ascii="Times New Roman;sans-serif" w:hAnsi="Times New Roman;sans-serif"/>
                  <w:b w:val="false"/>
                  <w:color w:val="0E32E1"/>
                  <w:sz w:val="20"/>
                  <w:u w:val="single"/>
                </w:rPr>
                <w:t>43</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42">
              <w:r>
                <w:rPr>
                  <w:rStyle w:val="InternetLink"/>
                  <w:rFonts w:ascii="Times New Roman;sans-serif" w:hAnsi="Times New Roman;sans-serif"/>
                  <w:b w:val="false"/>
                  <w:color w:val="0E32E1"/>
                  <w:sz w:val="20"/>
                  <w:u w:val="single"/>
                </w:rPr>
                <w:t>Item 3.</w:t>
              </w:r>
            </w:hyperlink>
          </w:p>
        </w:tc>
        <w:tc>
          <w:tcPr>
            <w:tcW w:w="8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42">
              <w:r>
                <w:rPr>
                  <w:rStyle w:val="InternetLink"/>
                  <w:rFonts w:ascii="Times New Roman;sans-serif" w:hAnsi="Times New Roman;sans-serif"/>
                  <w:b w:val="false"/>
                  <w:color w:val="0E32E1"/>
                  <w:sz w:val="20"/>
                  <w:u w:val="single"/>
                </w:rPr>
                <w:t>Quantitative and Qualitative Disclosures about Market Risk</w:t>
              </w:r>
            </w:hyperlink>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7dff74dc7fcf4fb7b842a26e97102601_142">
              <w:r>
                <w:rPr>
                  <w:rStyle w:val="InternetLink"/>
                  <w:rFonts w:ascii="Times New Roman;sans-serif" w:hAnsi="Times New Roman;sans-serif"/>
                  <w:b w:val="false"/>
                  <w:color w:val="0E32E1"/>
                  <w:sz w:val="20"/>
                  <w:u w:val="single"/>
                </w:rPr>
                <w:t>68</w:t>
              </w:r>
            </w:hyperlink>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45">
              <w:r>
                <w:rPr>
                  <w:rStyle w:val="InternetLink"/>
                  <w:rFonts w:ascii="Times New Roman;sans-serif" w:hAnsi="Times New Roman;sans-serif"/>
                  <w:b w:val="false"/>
                  <w:color w:val="0E32E1"/>
                  <w:sz w:val="20"/>
                  <w:u w:val="single"/>
                </w:rPr>
                <w:t>Item 4.</w:t>
              </w:r>
            </w:hyperlink>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45">
              <w:r>
                <w:rPr>
                  <w:rStyle w:val="InternetLink"/>
                  <w:rFonts w:ascii="Times New Roman;sans-serif" w:hAnsi="Times New Roman;sans-serif"/>
                  <w:b w:val="false"/>
                  <w:color w:val="0E32E1"/>
                  <w:sz w:val="20"/>
                  <w:u w:val="single"/>
                </w:rPr>
                <w:t>Controls and Procedures</w:t>
              </w:r>
            </w:hyperlink>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7dff74dc7fcf4fb7b842a26e97102601_145">
              <w:r>
                <w:rPr>
                  <w:rStyle w:val="InternetLink"/>
                  <w:rFonts w:ascii="Times New Roman;sans-serif" w:hAnsi="Times New Roman;sans-serif"/>
                  <w:b w:val="false"/>
                  <w:color w:val="0E32E1"/>
                  <w:sz w:val="20"/>
                  <w:u w:val="single"/>
                </w:rPr>
                <w:t>69</w:t>
              </w:r>
            </w:hyperlink>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7dff74dc7fcf4fb7b842a26e97102601_148">
              <w:r>
                <w:rPr>
                  <w:rStyle w:val="InternetLink"/>
                  <w:rFonts w:ascii="Times New Roman;sans-serif" w:hAnsi="Times New Roman;sans-serif"/>
                  <w:b w:val="false"/>
                  <w:color w:val="0E32E1"/>
                  <w:sz w:val="20"/>
                  <w:u w:val="single"/>
                </w:rPr>
                <w:t>Part II. Other Information</w:t>
              </w:r>
            </w:hyperlink>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51">
              <w:r>
                <w:rPr>
                  <w:rStyle w:val="InternetLink"/>
                  <w:rFonts w:ascii="Times New Roman;sans-serif" w:hAnsi="Times New Roman;sans-serif"/>
                  <w:b w:val="false"/>
                  <w:color w:val="0E32E1"/>
                  <w:sz w:val="20"/>
                  <w:u w:val="single"/>
                </w:rPr>
                <w:t>Item 1.</w:t>
              </w:r>
            </w:hyperlink>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51">
              <w:r>
                <w:rPr>
                  <w:rStyle w:val="InternetLink"/>
                  <w:rFonts w:ascii="Times New Roman;sans-serif" w:hAnsi="Times New Roman;sans-serif"/>
                  <w:b w:val="false"/>
                  <w:color w:val="0E32E1"/>
                  <w:sz w:val="20"/>
                  <w:u w:val="single"/>
                </w:rPr>
                <w:t>Legal Proceedings</w:t>
              </w:r>
            </w:hyperlink>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7dff74dc7fcf4fb7b842a26e97102601_151">
              <w:r>
                <w:rPr>
                  <w:rStyle w:val="InternetLink"/>
                  <w:rFonts w:ascii="Times New Roman;sans-serif" w:hAnsi="Times New Roman;sans-serif"/>
                  <w:b w:val="false"/>
                  <w:color w:val="0E32E1"/>
                  <w:sz w:val="20"/>
                  <w:u w:val="single"/>
                </w:rPr>
                <w:t>71</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54">
              <w:r>
                <w:rPr>
                  <w:rStyle w:val="InternetLink"/>
                  <w:rFonts w:ascii="Times New Roman;sans-serif" w:hAnsi="Times New Roman;sans-serif"/>
                  <w:b w:val="false"/>
                  <w:color w:val="0E32E1"/>
                  <w:sz w:val="20"/>
                  <w:u w:val="single"/>
                </w:rPr>
                <w:t>Item 1A.</w:t>
              </w:r>
            </w:hyperlink>
          </w:p>
        </w:tc>
        <w:tc>
          <w:tcPr>
            <w:tcW w:w="8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54">
              <w:r>
                <w:rPr>
                  <w:rStyle w:val="InternetLink"/>
                  <w:rFonts w:ascii="Times New Roman;sans-serif" w:hAnsi="Times New Roman;sans-serif"/>
                  <w:b w:val="false"/>
                  <w:color w:val="0E32E1"/>
                  <w:sz w:val="20"/>
                  <w:u w:val="single"/>
                </w:rPr>
                <w:t>Risk Factors</w:t>
              </w:r>
            </w:hyperlink>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7dff74dc7fcf4fb7b842a26e97102601_154">
              <w:r>
                <w:rPr>
                  <w:rStyle w:val="InternetLink"/>
                  <w:rFonts w:ascii="Times New Roman;sans-serif" w:hAnsi="Times New Roman;sans-serif"/>
                  <w:b w:val="false"/>
                  <w:color w:val="0E32E1"/>
                  <w:sz w:val="20"/>
                  <w:u w:val="single"/>
                </w:rPr>
                <w:t>71</w:t>
              </w:r>
            </w:hyperlink>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57">
              <w:r>
                <w:rPr>
                  <w:rStyle w:val="InternetLink"/>
                  <w:rFonts w:ascii="Times New Roman;sans-serif" w:hAnsi="Times New Roman;sans-serif"/>
                  <w:b w:val="false"/>
                  <w:color w:val="0E32E1"/>
                  <w:sz w:val="20"/>
                  <w:u w:val="single"/>
                </w:rPr>
                <w:t>Item 2.</w:t>
              </w:r>
            </w:hyperlink>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57">
              <w:r>
                <w:rPr>
                  <w:rStyle w:val="InternetLink"/>
                  <w:rFonts w:ascii="Times New Roman;sans-serif" w:hAnsi="Times New Roman;sans-serif"/>
                  <w:b w:val="false"/>
                  <w:color w:val="0E32E1"/>
                  <w:sz w:val="20"/>
                  <w:u w:val="single"/>
                </w:rPr>
                <w:t>Unregistered Sales of Equity Securities and Use of Proceeds</w:t>
              </w:r>
            </w:hyperlink>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7dff74dc7fcf4fb7b842a26e97102601_157">
              <w:r>
                <w:rPr>
                  <w:rStyle w:val="InternetLink"/>
                  <w:rFonts w:ascii="Times New Roman;sans-serif" w:hAnsi="Times New Roman;sans-serif"/>
                  <w:b w:val="false"/>
                  <w:color w:val="0E32E1"/>
                  <w:sz w:val="20"/>
                  <w:u w:val="single"/>
                </w:rPr>
                <w:t>108</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ff74dc7fcf4fb7b842a26e97102601_160">
              <w:r>
                <w:rPr>
                  <w:rStyle w:val="InternetLink"/>
                  <w:rFonts w:ascii="Times New Roman;sans-serif" w:hAnsi="Times New Roman;sans-serif"/>
                  <w:b w:val="false"/>
                  <w:color w:val="0E32E1"/>
                  <w:sz w:val="20"/>
                  <w:u w:val="single"/>
                </w:rPr>
                <w:t>Item 5</w:t>
              </w:r>
            </w:hyperlink>
            <w:r>
              <w:rPr>
                <w:rFonts w:ascii="Times New Roman;sans-serif" w:hAnsi="Times New Roman;sans-serif"/>
                <w:b w:val="false"/>
                <w:color w:val="0E32E1"/>
                <w:sz w:val="20"/>
              </w:rPr>
              <w:t>.</w:t>
            </w:r>
          </w:p>
        </w:tc>
        <w:tc>
          <w:tcPr>
            <w:tcW w:w="8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ff74dc7fcf4fb7b842a26e97102601_160">
              <w:r>
                <w:rPr>
                  <w:rStyle w:val="InternetLink"/>
                  <w:rFonts w:ascii="Times New Roman;sans-serif" w:hAnsi="Times New Roman;sans-serif"/>
                  <w:b w:val="false"/>
                  <w:color w:val="0E32E1"/>
                  <w:sz w:val="20"/>
                  <w:u w:val="single"/>
                </w:rPr>
                <w:t>Other Information</w:t>
              </w:r>
            </w:hyperlink>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7dff74dc7fcf4fb7b842a26e97102601_160">
              <w:r>
                <w:rPr>
                  <w:rStyle w:val="InternetLink"/>
                  <w:rFonts w:ascii="Times New Roman;sans-serif" w:hAnsi="Times New Roman;sans-serif"/>
                  <w:b w:val="false"/>
                  <w:color w:val="0E32E1"/>
                  <w:sz w:val="20"/>
                  <w:u w:val="single"/>
                </w:rPr>
                <w:t>108</w:t>
              </w:r>
            </w:hyperlink>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69">
              <w:r>
                <w:rPr>
                  <w:rStyle w:val="InternetLink"/>
                  <w:rFonts w:ascii="Times New Roman;sans-serif" w:hAnsi="Times New Roman;sans-serif"/>
                  <w:b w:val="false"/>
                  <w:color w:val="0E32E1"/>
                  <w:sz w:val="20"/>
                  <w:u w:val="single"/>
                </w:rPr>
                <w:t>Item 6.</w:t>
              </w:r>
            </w:hyperlink>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69">
              <w:r>
                <w:rPr>
                  <w:rStyle w:val="InternetLink"/>
                  <w:rFonts w:ascii="Times New Roman;sans-serif" w:hAnsi="Times New Roman;sans-serif"/>
                  <w:b w:val="false"/>
                  <w:color w:val="0E32E1"/>
                  <w:sz w:val="20"/>
                  <w:u w:val="single"/>
                </w:rPr>
                <w:t>Exhibits</w:t>
              </w:r>
            </w:hyperlink>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7dff74dc7fcf4fb7b842a26e97102601_169">
              <w:r>
                <w:rPr>
                  <w:rStyle w:val="InternetLink"/>
                  <w:rFonts w:ascii="Times New Roman;sans-serif" w:hAnsi="Times New Roman;sans-serif"/>
                  <w:b w:val="false"/>
                  <w:color w:val="0E32E1"/>
                  <w:sz w:val="20"/>
                  <w:u w:val="single"/>
                </w:rPr>
                <w:t>109</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dff74dc7fcf4fb7b842a26e97102601_172">
              <w:r>
                <w:rPr>
                  <w:rStyle w:val="InternetLink"/>
                  <w:rFonts w:ascii="Times New Roman;sans-serif" w:hAnsi="Times New Roman;sans-serif"/>
                  <w:b w:val="false"/>
                  <w:color w:val="0E32E1"/>
                  <w:sz w:val="20"/>
                  <w:u w:val="single"/>
                </w:rPr>
                <w:t>Signatures</w:t>
              </w:r>
            </w:hyperlink>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used in this Quarterly Report on Form 10-Q, unless expressly indicated or the context otherwise requires, references to “Health Catalyst,” “we,” “us,” “our,” “the Company,” and similar references refer to Health Catalyst, Inc. and its consolidated subsidiaries. This Quarterly Report on Form 10-Q, including the section titled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Forward-looking statements are only predictions based on our management’s beliefs and assumptions and on information currently available to our management. All statements other than statements of historical facts are “forward-looking statements” for purposes of these provisions, including those relating to future events or our future financial performance and financial guidance. These forward-looking statements, which are subject to a number of risks, uncertainties, and assumptions, generally relate to future events or our future financial or operating performance. In some cases, you can identify these statements by forward-looking words such as “believe,” “may,” “will,” “estimate,” “continue,” “anticipate,” “design,” “intend,” “expect,” “could,” “plan,” “potential,” “predict,” “seek,” “should,” “would,” “target,” “project,” or “contemplate,” the negative of terms like these or other comparable terminology, and other words or terms of similar meaning in connection with any discussion of expectations, projections, plans, strategy, intentions, or future results of operations or financial performance. Forward-looking statements contained in this Quarterly Report on Form 10-Q include, but are not limited to, statements about our: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ability to attract new clients and retain and expand our relationships with existing clients;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ability to expand our service offerings, develop new platform features, and rollout and migrate existing DOS Subscription Clients to our new platform, Health Catalyst Ignite;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550545"/>
                <wp:effectExtent l="0" t="0" r="0" b="0"/>
                <wp:wrapNone/>
                <wp:docPr id="2" name="Frame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future financial performance, including trends in revenue, costs of revenue, gross margin, and operating expenses;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ability to compete successfully in competitive markets;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ability to respond to rapid technological changes;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expectations and management of future growth;</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ability to enter new markets and manage our expansion efforts, particularly internationally;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ability to attract and retain highly-qualified employees, whom we refer to as team members;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ability to effectively and efficiently protect our brand;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ability to timely scale and adapt our infrastructure;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ability to maintain, protect, and enhance our intellectual property and not infringe upon others’ intellectual property;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ability to successfully identify, acquire, and integrate companies and assets;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expectations regarding our key financial metrics;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expectations regarding the impact of any macroeconomic challenges (including high inflationary and/or high interest rate environments, or market volatility caused by bank failures and measures taken in response thereto), natural disasters or public health emergencies, such as the COVID-19 pandemic, on our business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subject to a number of risks, uncertainties, and assumptions, including those described in the section titled “Risk Factors” in this Quarterly Report on Form 10-Q and other documents that may be filed by us from time to time with the Securities and Exchange Commission (the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and you should not place undue reliance on our forward-looking statements.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on Form 10-Q in conjunction with the audited consolidated financial statements and the related notes thereto as of and for the year ended December 31, 2023, included in our Annual Report on Form 10-K.</w:t>
      </w:r>
    </w:p>
    <w:p>
      <w:pPr>
        <w:pStyle w:val="TextBody"/>
        <w:bidi w:val="0"/>
        <w:spacing w:lineRule="auto" w:line="288" w:before="0" w:after="180"/>
        <w:jc w:val="both"/>
        <w:rPr>
          <w:rFonts w:ascii="Times New Roman;sans-serif" w:hAnsi="Times New Roman;sans-serif"/>
          <w:b/>
          <w:color w:val="000000"/>
          <w:sz w:val="20"/>
          <w:u w:val="single"/>
        </w:rPr>
      </w:pPr>
      <w:r>
        <w:rPr>
          <w:rFonts w:ascii="Times New Roman;sans-serif" w:hAnsi="Times New Roman;sans-serif"/>
          <w:b/>
          <w:color w:val="000000"/>
          <w:sz w:val="20"/>
          <w:u w:val="single"/>
        </w:rPr>
        <w:t>Summary of Risk Factors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operate in a highly competitive industry, and if we are not able to compete effectively, our business and results of operations will be harmed.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be unable to successfully execute on our growth initiatives, business strategies, or operating plans as well as cost reduction and restructuring initiatives.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If we fail to effectively manage our growth and organizational change, our business and results of operations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50545"/>
                <wp:effectExtent l="0" t="0" r="0" b="0"/>
                <wp:wrapNone/>
                <wp:docPr id="3" name="Frame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Macroeconomic challenges (including high inflationary and/or high interest rate environments, or market volatility and measures taken in response thereto) and any new public health crisis could harm our business, results of operations, and financial condition.</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Failure by our clients to obtain proper permissions and waivers may result in claims against us or may limit or prevent our use of data, which could harm our business.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If we do not continue to innovate and provide services that are useful to clients and users, we may not remain competitive, and our revenue and results of operations could suffer.</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Our business could be adversely affected if our clients are not satisfied with our cloud-based data platform, software analytics applications, and professional services expertise (our Solution).</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If our existing clients do not continue or renew their contracts with us, renew at lower fee levels, or decline to purchase additional technology and services from us, it could have a material adverse effect on our business, financial condition, and results of operations.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Our business and operations may suffer in the event of information technology system failures, cyberattacks, or deficiencies in our cybersecurity.</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Our Solution is dependent on our ability to source data from third parties, and such third parties could take steps to block our access to data, or increase fees or impose fees for such access, which could impair our ability to provide our Solution, limit the effectiveness of our Solution, or adversely affect our financial condition and results of operations.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Our results of operations have in the past fluctuated and may continue to fluctuate significantly, and if we fail to meet the expectations of securities analysts or investors, our stock price and the value of an investment in our common stock could decline substantially.</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term loan facility exposes us to interest rate risks, contains covenants and other provisions that restrict our ability to take certain actions, and may limit our ability to operate or grow our business in the future.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pricing may change over time and our ability to efficiently price our Solution will affect our results of operations and our ability to attract or retain clients.</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If our Solution fails to provide accurate and timely information, or if our content or any other element of our Solution is associated with faulty clinical decisions or treatment, we could have liability to clients, clinicians, patients, or others, which could adversely affect our results of operations.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We rely on third-party providers, including Microsoft Azure, for computing infrastructure, network connectivity, and other technology-related services needed to deliver our Solution. Any disruption in the services provided by such third-party providers could adversely affect our business and subject us to liability.</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We rely on Internet infrastructure, bandwidth providers, data center providers, other third parties, and our own systems for providing our Solution to our users, and any failure or interruption in the services provided by these third parties or our own systems could expose us to litigation, potentially require us to issue credits to our clients, and negatively impact our relationships with users or clients, adversely affecting our brand and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50545"/>
                <wp:effectExtent l="0" t="0" r="0" b="0"/>
                <wp:wrapNone/>
                <wp:docPr id="4" name="Frame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data)</w:t>
      </w:r>
    </w:p>
    <w:tbl>
      <w:tblPr>
        <w:tblW w:w="6684" w:type="dxa"/>
        <w:jc w:val="center"/>
        <w:tblInd w:w="0" w:type="dxa"/>
        <w:tblLayout w:type="fixed"/>
        <w:tblCellMar>
          <w:top w:w="28" w:type="dxa"/>
          <w:left w:w="28" w:type="dxa"/>
          <w:bottom w:w="28" w:type="dxa"/>
          <w:right w:w="28" w:type="dxa"/>
        </w:tblCellMar>
      </w:tblPr>
      <w:tblGrid>
        <w:gridCol w:w="1448"/>
        <w:gridCol w:w="1278"/>
        <w:gridCol w:w="1294"/>
        <w:gridCol w:w="211"/>
        <w:gridCol w:w="826"/>
        <w:gridCol w:w="109"/>
        <w:gridCol w:w="109"/>
        <w:gridCol w:w="109"/>
        <w:gridCol w:w="109"/>
        <w:gridCol w:w="211"/>
        <w:gridCol w:w="826"/>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December 31,</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Accounts receivable, net</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Deferred revenue</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50545"/>
                <wp:effectExtent l="0" t="0" r="0" b="0"/>
                <wp:wrapNone/>
                <wp:docPr id="5" name="Frame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24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2774"/>
        <w:gridCol w:w="2375"/>
        <w:gridCol w:w="2383"/>
        <w:gridCol w:w="211"/>
        <w:gridCol w:w="829"/>
        <w:gridCol w:w="109"/>
        <w:gridCol w:w="109"/>
        <w:gridCol w:w="109"/>
        <w:gridCol w:w="109"/>
        <w:gridCol w:w="211"/>
        <w:gridCol w:w="829"/>
        <w:gridCol w:w="157"/>
      </w:tblGrid>
      <w:tr>
        <w:trPr/>
        <w:tc>
          <w:tcPr>
            <w:tcW w:w="2774"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per share; 25,000,000 shares authorized and no shares issued and outstanding as of June 30, 2024 and December 31, 2023</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 and additional paid-in capital; 500,000,000 shares authorized as of June 30, 2024 and December 31, 2023; 60,075,178 and 58,295,491 shares issued and outstanding as of June 30, 2024 and December 31, 2023, respectively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1,484,056 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366,919 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701,814 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4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345" w:before="0" w:after="24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Includes amounts attributable to related party transactions. See Note 17 for further details.</w:t>
      </w:r>
    </w:p>
    <w:p>
      <w:pPr>
        <w:pStyle w:val="TextBody"/>
        <w:bidi w:val="0"/>
        <w:spacing w:lineRule="auto" w:line="288"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50545"/>
                <wp:effectExtent l="0" t="0" r="0" b="0"/>
                <wp:wrapNone/>
                <wp:docPr id="6" name="Frame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data)</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before="0" w:after="240"/>
        <w:ind w:left="0" w:right="0" w:firstLine="360"/>
        <w:jc w:val="center"/>
        <w:rPr/>
      </w:pPr>
      <w:r>
        <w:rPr/>
      </w:r>
    </w:p>
    <w:tbl>
      <w:tblPr>
        <w:tblW w:w="10205" w:type="dxa"/>
        <w:jc w:val="left"/>
        <w:tblInd w:w="0" w:type="dxa"/>
        <w:tblLayout w:type="fixed"/>
        <w:tblCellMar>
          <w:top w:w="28" w:type="dxa"/>
          <w:left w:w="28" w:type="dxa"/>
          <w:bottom w:w="28" w:type="dxa"/>
          <w:right w:w="28" w:type="dxa"/>
        </w:tblCellMar>
      </w:tblPr>
      <w:tblGrid>
        <w:gridCol w:w="1836"/>
        <w:gridCol w:w="1487"/>
        <w:gridCol w:w="1500"/>
        <w:gridCol w:w="211"/>
        <w:gridCol w:w="768"/>
        <w:gridCol w:w="109"/>
        <w:gridCol w:w="109"/>
        <w:gridCol w:w="109"/>
        <w:gridCol w:w="109"/>
        <w:gridCol w:w="211"/>
        <w:gridCol w:w="768"/>
        <w:gridCol w:w="109"/>
        <w:gridCol w:w="109"/>
        <w:gridCol w:w="109"/>
        <w:gridCol w:w="109"/>
        <w:gridCol w:w="211"/>
        <w:gridCol w:w="768"/>
        <w:gridCol w:w="109"/>
        <w:gridCol w:w="109"/>
        <w:gridCol w:w="109"/>
        <w:gridCol w:w="109"/>
        <w:gridCol w:w="211"/>
        <w:gridCol w:w="768"/>
        <w:gridCol w:w="158"/>
      </w:tblGrid>
      <w:tr>
        <w:trPr/>
        <w:tc>
          <w:tcPr>
            <w:tcW w:w="183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Revenue</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147,081 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 excluding depreciation and amortization</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138,871 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used in calculating net loss per share, basic and diluted</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4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345" w:before="0" w:after="24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Includes amounts attributable to related party transactions. See Note 17 for further details.</w:t>
      </w:r>
    </w:p>
    <w:p>
      <w:pPr>
        <w:pStyle w:val="TextBody"/>
        <w:bidi w:val="0"/>
        <w:spacing w:lineRule="auto" w:line="288"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50545"/>
                <wp:effectExtent l="0" t="0" r="0" b="0"/>
                <wp:wrapNone/>
                <wp:docPr id="7" name="Frame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before="0" w:after="240"/>
        <w:ind w:left="0" w:right="0" w:firstLine="360"/>
        <w:jc w:val="center"/>
        <w:rPr/>
      </w:pPr>
      <w:r>
        <w:rPr/>
      </w:r>
    </w:p>
    <w:tbl>
      <w:tblPr>
        <w:tblW w:w="10205" w:type="dxa"/>
        <w:jc w:val="center"/>
        <w:tblInd w:w="0" w:type="dxa"/>
        <w:tblLayout w:type="fixed"/>
        <w:tblCellMar>
          <w:top w:w="28" w:type="dxa"/>
          <w:left w:w="28" w:type="dxa"/>
          <w:bottom w:w="28" w:type="dxa"/>
          <w:right w:w="28" w:type="dxa"/>
        </w:tblCellMar>
      </w:tblPr>
      <w:tblGrid>
        <w:gridCol w:w="1737"/>
        <w:gridCol w:w="1506"/>
        <w:gridCol w:w="1534"/>
        <w:gridCol w:w="211"/>
        <w:gridCol w:w="780"/>
        <w:gridCol w:w="109"/>
        <w:gridCol w:w="109"/>
        <w:gridCol w:w="109"/>
        <w:gridCol w:w="109"/>
        <w:gridCol w:w="211"/>
        <w:gridCol w:w="780"/>
        <w:gridCol w:w="109"/>
        <w:gridCol w:w="109"/>
        <w:gridCol w:w="109"/>
        <w:gridCol w:w="109"/>
        <w:gridCol w:w="211"/>
        <w:gridCol w:w="780"/>
        <w:gridCol w:w="109"/>
        <w:gridCol w:w="109"/>
        <w:gridCol w:w="109"/>
        <w:gridCol w:w="109"/>
        <w:gridCol w:w="211"/>
        <w:gridCol w:w="780"/>
        <w:gridCol w:w="156"/>
      </w:tblGrid>
      <w:tr>
        <w:trPr/>
        <w:tc>
          <w:tcPr>
            <w:tcW w:w="173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unrealized gains (losses) on available for sale investments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(65,359)</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50545"/>
                <wp:effectExtent l="0" t="0" r="0" b="0"/>
                <wp:wrapNone/>
                <wp:docPr id="8" name="Frame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data)</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16"/>
        <w:gridCol w:w="434"/>
        <w:gridCol w:w="437"/>
        <w:gridCol w:w="109"/>
        <w:gridCol w:w="109"/>
        <w:gridCol w:w="109"/>
        <w:gridCol w:w="224"/>
        <w:gridCol w:w="224"/>
        <w:gridCol w:w="572"/>
        <w:gridCol w:w="421"/>
        <w:gridCol w:w="225"/>
        <w:gridCol w:w="109"/>
        <w:gridCol w:w="109"/>
        <w:gridCol w:w="109"/>
        <w:gridCol w:w="199"/>
        <w:gridCol w:w="885"/>
        <w:gridCol w:w="110"/>
        <w:gridCol w:w="190"/>
        <w:gridCol w:w="190"/>
        <w:gridCol w:w="191"/>
        <w:gridCol w:w="245"/>
        <w:gridCol w:w="1136"/>
        <w:gridCol w:w="136"/>
        <w:gridCol w:w="109"/>
        <w:gridCol w:w="109"/>
        <w:gridCol w:w="109"/>
        <w:gridCol w:w="282"/>
        <w:gridCol w:w="628"/>
        <w:gridCol w:w="158"/>
        <w:gridCol w:w="109"/>
        <w:gridCol w:w="109"/>
        <w:gridCol w:w="109"/>
        <w:gridCol w:w="196"/>
        <w:gridCol w:w="736"/>
        <w:gridCol w:w="162"/>
      </w:tblGrid>
      <w:tr>
        <w:trPr/>
        <w:tc>
          <w:tcPr>
            <w:tcW w:w="91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and 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1421" w:type="dxa"/>
            <w:gridSpan w:val="6"/>
            <w:tcBorders/>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5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58,956,132 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1,495,091 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(1,137,757)</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357,210 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and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449,272 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263,482 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388,590 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60,075,178 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1,508,437 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(1,151,273)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357,002 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28"/>
        <w:gridCol w:w="451"/>
        <w:gridCol w:w="454"/>
        <w:gridCol w:w="109"/>
        <w:gridCol w:w="109"/>
        <w:gridCol w:w="109"/>
        <w:gridCol w:w="229"/>
        <w:gridCol w:w="229"/>
        <w:gridCol w:w="572"/>
        <w:gridCol w:w="423"/>
        <w:gridCol w:w="231"/>
        <w:gridCol w:w="109"/>
        <w:gridCol w:w="109"/>
        <w:gridCol w:w="109"/>
        <w:gridCol w:w="199"/>
        <w:gridCol w:w="887"/>
        <w:gridCol w:w="110"/>
        <w:gridCol w:w="190"/>
        <w:gridCol w:w="190"/>
        <w:gridCol w:w="191"/>
        <w:gridCol w:w="233"/>
        <w:gridCol w:w="1076"/>
        <w:gridCol w:w="129"/>
        <w:gridCol w:w="109"/>
        <w:gridCol w:w="109"/>
        <w:gridCol w:w="109"/>
        <w:gridCol w:w="285"/>
        <w:gridCol w:w="635"/>
        <w:gridCol w:w="160"/>
        <w:gridCol w:w="109"/>
        <w:gridCol w:w="109"/>
        <w:gridCol w:w="109"/>
        <w:gridCol w:w="196"/>
        <w:gridCol w:w="736"/>
        <w:gridCol w:w="163"/>
      </w:tblGrid>
      <w:tr>
        <w:trPr/>
        <w:tc>
          <w:tcPr>
            <w:tcW w:w="92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8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and 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1422" w:type="dxa"/>
            <w:gridSpan w:val="6"/>
            <w:tcBorders/>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4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55,843,457 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1,437,654 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(1,032,213)</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405,146 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and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428,165 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244,133 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56,541,641 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1,454,897 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(1,064,826)</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389,867 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TextBody"/>
        <w:bidi w:val="0"/>
        <w:spacing w:before="0" w:after="240"/>
        <w:ind w:left="0" w:right="0" w:firstLine="360"/>
        <w:jc w:val="center"/>
        <w:rPr/>
      </w:pPr>
      <w:r>
        <w:rPr/>
      </w:r>
    </w:p>
    <w:p>
      <w:pPr>
        <w:pStyle w:val="TextBody"/>
        <w:bidi w:val="0"/>
        <w:spacing w:before="0" w:after="240"/>
        <w:ind w:left="0" w:right="0" w:firstLine="360"/>
        <w:jc w:val="center"/>
        <w:rPr/>
      </w:pPr>
      <w:r>
        <w:rPr/>
      </w:r>
    </w:p>
    <w:p>
      <w:pPr>
        <w:pStyle w:val="TextBody"/>
        <w:bidi w:val="0"/>
        <w:spacing w:before="0" w:after="240"/>
        <w:ind w:left="0" w:right="0" w:firstLine="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50545"/>
                <wp:effectExtent l="0" t="0" r="0" b="0"/>
                <wp:wrapNone/>
                <wp:docPr id="9" name="Frame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before="0" w:after="240"/>
        <w:jc w:val="center"/>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data)</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28"/>
        <w:gridCol w:w="479"/>
        <w:gridCol w:w="481"/>
        <w:gridCol w:w="109"/>
        <w:gridCol w:w="109"/>
        <w:gridCol w:w="109"/>
        <w:gridCol w:w="224"/>
        <w:gridCol w:w="224"/>
        <w:gridCol w:w="572"/>
        <w:gridCol w:w="421"/>
        <w:gridCol w:w="225"/>
        <w:gridCol w:w="109"/>
        <w:gridCol w:w="109"/>
        <w:gridCol w:w="109"/>
        <w:gridCol w:w="199"/>
        <w:gridCol w:w="885"/>
        <w:gridCol w:w="110"/>
        <w:gridCol w:w="190"/>
        <w:gridCol w:w="190"/>
        <w:gridCol w:w="191"/>
        <w:gridCol w:w="245"/>
        <w:gridCol w:w="1136"/>
        <w:gridCol w:w="136"/>
        <w:gridCol w:w="109"/>
        <w:gridCol w:w="109"/>
        <w:gridCol w:w="109"/>
        <w:gridCol w:w="282"/>
        <w:gridCol w:w="628"/>
        <w:gridCol w:w="158"/>
        <w:gridCol w:w="109"/>
        <w:gridCol w:w="109"/>
        <w:gridCol w:w="109"/>
        <w:gridCol w:w="196"/>
        <w:gridCol w:w="736"/>
        <w:gridCol w:w="161"/>
      </w:tblGrid>
      <w:tr>
        <w:trPr/>
        <w:tc>
          <w:tcPr>
            <w:tcW w:w="82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4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and 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1420" w:type="dxa"/>
            <w:gridSpan w:val="6"/>
            <w:tcBorders/>
          </w:tcPr>
          <w:p>
            <w:pPr>
              <w:pStyle w:val="TableContents"/>
              <w:bidi w:val="0"/>
              <w:spacing w:before="0" w:after="283"/>
              <w:jc w:val="left"/>
              <w:rPr>
                <w:sz w:val="4"/>
                <w:szCs w:val="4"/>
              </w:rPr>
            </w:pPr>
            <w:r>
              <w:rPr>
                <w:sz w:val="4"/>
                <w:szCs w:val="4"/>
              </w:rPr>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5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58,295,491 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1,484,056 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(1,117,170)</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366,919 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and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1,106,851 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263,482 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related to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388,590 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(34,103)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60,075,178 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1,508,437 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(1,151,273)</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357,002 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42"/>
        <w:gridCol w:w="495"/>
        <w:gridCol w:w="497"/>
        <w:gridCol w:w="109"/>
        <w:gridCol w:w="109"/>
        <w:gridCol w:w="109"/>
        <w:gridCol w:w="229"/>
        <w:gridCol w:w="229"/>
        <w:gridCol w:w="572"/>
        <w:gridCol w:w="423"/>
        <w:gridCol w:w="231"/>
        <w:gridCol w:w="109"/>
        <w:gridCol w:w="109"/>
        <w:gridCol w:w="109"/>
        <w:gridCol w:w="199"/>
        <w:gridCol w:w="887"/>
        <w:gridCol w:w="110"/>
        <w:gridCol w:w="190"/>
        <w:gridCol w:w="190"/>
        <w:gridCol w:w="191"/>
        <w:gridCol w:w="233"/>
        <w:gridCol w:w="1076"/>
        <w:gridCol w:w="129"/>
        <w:gridCol w:w="109"/>
        <w:gridCol w:w="109"/>
        <w:gridCol w:w="109"/>
        <w:gridCol w:w="285"/>
        <w:gridCol w:w="635"/>
        <w:gridCol w:w="160"/>
        <w:gridCol w:w="109"/>
        <w:gridCol w:w="109"/>
        <w:gridCol w:w="109"/>
        <w:gridCol w:w="196"/>
        <w:gridCol w:w="736"/>
        <w:gridCol w:w="162"/>
      </w:tblGrid>
      <w:tr>
        <w:trPr/>
        <w:tc>
          <w:tcPr>
            <w:tcW w:w="84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8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and 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1421" w:type="dxa"/>
            <w:gridSpan w:val="6"/>
            <w:tcBorders/>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4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55,261,922 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1,424,681 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(999,023)</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425,010 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and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1,056,852 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244,133 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123,761 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(145,027)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(65,803)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(65,803)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56,541,641 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1,454,897 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(1,064,826)</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389,867 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50545"/>
                <wp:effectExtent l="0" t="0" r="0" b="0"/>
                <wp:wrapNone/>
                <wp:docPr id="10" name="Frame1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thousands)(unaudited)</w:t>
      </w:r>
    </w:p>
    <w:tbl>
      <w:tblPr>
        <w:tblW w:w="9789" w:type="dxa"/>
        <w:jc w:val="center"/>
        <w:tblInd w:w="0" w:type="dxa"/>
        <w:tblLayout w:type="fixed"/>
        <w:tblCellMar>
          <w:top w:w="28" w:type="dxa"/>
          <w:left w:w="28" w:type="dxa"/>
          <w:bottom w:w="28" w:type="dxa"/>
          <w:right w:w="28" w:type="dxa"/>
        </w:tblCellMar>
      </w:tblPr>
      <w:tblGrid>
        <w:gridCol w:w="2597"/>
        <w:gridCol w:w="2286"/>
        <w:gridCol w:w="2302"/>
        <w:gridCol w:w="211"/>
        <w:gridCol w:w="796"/>
        <w:gridCol w:w="109"/>
        <w:gridCol w:w="109"/>
        <w:gridCol w:w="109"/>
        <w:gridCol w:w="109"/>
        <w:gridCol w:w="211"/>
        <w:gridCol w:w="796"/>
        <w:gridCol w:w="154"/>
      </w:tblGrid>
      <w:tr>
        <w:trPr/>
        <w:tc>
          <w:tcPr>
            <w:tcW w:w="259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long-lived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 and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discount and premium accretion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credit losses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provision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liabilities,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and maturity of short-term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businesses, net of cash acquired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internal-use software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employee stock purchase plan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50545"/>
                <wp:effectExtent l="0" t="0" r="0" b="0"/>
                <wp:wrapNone/>
                <wp:docPr id="11" name="Frame1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240"/>
        <w:ind w:left="0" w:right="0" w:firstLine="360"/>
        <w:jc w:val="both"/>
        <w:rPr/>
      </w:pPr>
      <w:r>
        <w:rPr/>
      </w:r>
    </w:p>
    <w:tbl>
      <w:tblPr>
        <w:tblW w:w="9984" w:type="dxa"/>
        <w:jc w:val="center"/>
        <w:tblInd w:w="0" w:type="dxa"/>
        <w:tblLayout w:type="fixed"/>
        <w:tblCellMar>
          <w:top w:w="28" w:type="dxa"/>
          <w:left w:w="28" w:type="dxa"/>
          <w:bottom w:w="28" w:type="dxa"/>
          <w:right w:w="28" w:type="dxa"/>
        </w:tblCellMar>
      </w:tblPr>
      <w:tblGrid>
        <w:gridCol w:w="2651"/>
        <w:gridCol w:w="2328"/>
        <w:gridCol w:w="2341"/>
        <w:gridCol w:w="211"/>
        <w:gridCol w:w="826"/>
        <w:gridCol w:w="109"/>
        <w:gridCol w:w="109"/>
        <w:gridCol w:w="109"/>
        <w:gridCol w:w="109"/>
        <w:gridCol w:w="211"/>
        <w:gridCol w:w="826"/>
        <w:gridCol w:w="154"/>
      </w:tblGrid>
      <w:tr>
        <w:trPr/>
        <w:tc>
          <w:tcPr>
            <w:tcW w:w="2651"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in connection with acquisitions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obtained in exchange for operating lease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intangible assets included in accounts payable and 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capitalized as internal-use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 included in accounts payable and 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 included in accounts payable and 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50545"/>
                <wp:effectExtent l="0" t="0" r="0" b="0"/>
                <wp:wrapNone/>
                <wp:docPr id="12" name="Frame1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 Description of Business and Summary of Significant Accounting Policies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Nature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Health Catalyst, Inc. (Health Catalyst) was incorporated under the laws of Delaware in September 2011. We are a leading provider of data and analytics technology and services to healthcare organizations. Our Solution comprises our cloud-based data platform, software analytics applications, and professional services expertise. Our clients, which are primarily healthcare providers, use our Solution to manage their data, derive analytical insights to operate their organization, and produce measurable clinical, financial, and operational improvements.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Basis of presentation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U.S. generally accepted accounting principles (GAAP) and the applicable regulations of the U.S. Securities and Exchange Commission (SEC) regarding interim financial reporting. Certain information and note disclosures normally included in annual financial statements prepared in accordance with GAAP have been condensed or omitted. Therefore, these unaudited condensed consolidated financial statements should be read in conjunction with our audited consolidated financial statements and the related notes thereto as of and for the year ended December 31, 2023 included in our Annual Report on Form 10-K.</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Interim unaudited condensed consolidated financial statements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balance sheet as of June 30, 2024, the interim condensed consolidated statements of operations for the three and six months ended June 30, 2024 and 2023, our interim condensed consolidated statements of stockholders’ equity for the three and six months ended June 30, 2024 and 2023, and our interim condensed consolidated statements of cash flows for the six months ended June 30, 2024 and 2023 are unaudited. Our condensed consolidated balance sheet as of December 31, 2023 was derived from audited financial statements, but does not include all disclosures required by GAAP. Our interim unaudited condensed consolidated financial statements have been prepared on a basis consistent with our annual consolidated financial statements and, in the opinion of management, reflect all adjustments, which include only normal recurring adjustments, necessary to state fairly the Company’s financial position, its operations and cash flows for the periods presented. The historical results are not necessarily indicative of future results, and the results of operations for the three and six months ended June 30, 2024 are not necessarily indicative of the results to be expected for the full year or any other period.</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Health Catalyst and its wholly-owned subsidiaries. Intercompany balances and transactions have been eliminated.</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 and expenses during the reporting period. On an on-going basis, we evaluate our estimates, including those related to revenue recognition, reserves for expected credit losses, useful lives of property and equipment, capitalization and estimated useful life of internal-use software, impairment assessments of goodwill, intangible assets, and other long-lived assets, fair value of financial instruments, deferred tax assets, stock-based compensation, contingent consideration, the period of benefit for deferred contract acquisition costs, the incremental borrowing rate used for operating leases, and tax uncertainties. Actual results could differ significantly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50545"/>
                <wp:effectExtent l="0" t="0" r="0" b="0"/>
                <wp:wrapNone/>
                <wp:docPr id="13" name="Frame1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identified as components of an enterprise about which separate discrete financial information is evaluated by the chief operating decision maker (CODM) in assessing performance and making decisions regarding resource allocation. We operate our business in two operating segments that also represent our reportable segments. Our segments are (1) technology and (2) professional services. The CODM uses Adjusted Gross Profit (defined as revenue less cost of revenue that excludes depreciation, amortization, stock-based compensation expense, and certain other operating expenses) as the measure of our profit.</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Net loss per share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calculated by dividing net loss by the weighted average number of shares of common stock outstanding. Diluted net loss per share is calculated by giving effect to all potentially dilutive common stock equivalents outstanding for the period, when dilutive. For purposes of this calculation, stock options, restricted stock units (RSUs), performance-based restricted stock units (PRSUs), convertible senior notes, restricted shares, and purchase rights committed under the employee stock purchase plan are considered to be common stock equivalents but have been excluded from the calculation of diluted net loss per share attributable to common stockholders as the effect is anti-dilutive.</w:t>
      </w:r>
    </w:p>
    <w:p>
      <w:pPr>
        <w:pStyle w:val="TextBody"/>
        <w:bidi w:val="0"/>
        <w:spacing w:lineRule="auto" w:line="288" w:before="0" w:after="240"/>
        <w:jc w:val="left"/>
        <w:rPr/>
      </w:pPr>
      <w:r>
        <w:rPr>
          <w:rFonts w:ascii="Times New Roman;sans-serif" w:hAnsi="Times New Roman;sans-serif"/>
          <w:b/>
          <w:color w:val="000000"/>
          <w:sz w:val="20"/>
        </w:rPr>
        <w:t>Revenue</w:t>
      </w:r>
      <w:r>
        <w:rPr>
          <w:color w:val="000000"/>
        </w:rPr>
        <w:t xml:space="preserve"> </w:t>
      </w:r>
      <w:r>
        <w:rPr>
          <w:rFonts w:ascii="Times New Roman;sans-serif" w:hAnsi="Times New Roman;sans-serif"/>
          <w:b/>
          <w:color w:val="000000"/>
          <w:sz w:val="20"/>
        </w:rPr>
        <w:t>recognition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our revenue primarily from technology subscriptions and professional services. We determine revenue recognition by applying the following steps: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Identification of the contract, or contracts, with a client;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Recognition of revenue when, or as, we satisfy the performance obligation.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net of any taxes collected from clients and subsequently remitted to governmental authorities.</w:t>
      </w:r>
    </w:p>
    <w:p>
      <w:pPr>
        <w:pStyle w:val="TextBody"/>
        <w:bidi w:val="0"/>
        <w:spacing w:lineRule="auto" w:line="288" w:before="0" w:after="240"/>
        <w:jc w:val="left"/>
        <w:rPr/>
      </w:pPr>
      <w:r>
        <w:rPr>
          <w:rFonts w:ascii="Times New Roman;sans-serif" w:hAnsi="Times New Roman;sans-serif"/>
          <w:b/>
          <w:color w:val="000000"/>
          <w:sz w:val="20"/>
        </w:rPr>
        <w:t>Technology</w:t>
      </w:r>
      <w:r>
        <w:rPr>
          <w:color w:val="000000"/>
        </w:rPr>
        <w:t xml:space="preserve"> </w:t>
      </w:r>
      <w:r>
        <w:rPr>
          <w:rFonts w:ascii="Times New Roman;sans-serif" w:hAnsi="Times New Roman;sans-serif"/>
          <w:b/>
          <w:color w:val="000000"/>
          <w:sz w:val="20"/>
        </w:rPr>
        <w:t>revenue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Technology revenue primarily consists of subscription fees charged to clients for access to use our technology. We provide clients access to our technology through either an all-access or limited-access, modular subscription.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subscription arrangements are cloud-based and do not provide clients the right to take possession of the technology or contain a significant penalty if the client were to take possession of the technology. Revenue from cloud-based subscriptions is recognized ratably over the contract term beginning on the date that the service is made available to the client. Our subscription contracts generally have a three- or five-year term, of which many are terminable after one year upon 90 days’ notice.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Subscriptions that allow the client to take software on-premise without significant penalty are treated as time-based licenses. These arrangements generally include access to technology, access to unspecified future products, and maintenance and support. Revenue for upfront access to our technology library is recognized at a point in time when the technology is made available to the client. Revenue for access to unspecified future products included in time-based license subscriptions is recognized ratably over the contract term beginning on the date that the access is made available to the client.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50545"/>
                <wp:effectExtent l="0" t="0" r="0" b="0"/>
                <wp:wrapNone/>
                <wp:docPr id="14" name="Frame1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240"/>
        <w:jc w:val="left"/>
        <w:rPr/>
      </w:pPr>
      <w:r>
        <w:rPr>
          <w:rFonts w:ascii="Times New Roman;sans-serif" w:hAnsi="Times New Roman;sans-serif"/>
          <w:b/>
          <w:color w:val="000000"/>
          <w:sz w:val="20"/>
        </w:rPr>
        <w:t>Professional</w:t>
      </w:r>
      <w:r>
        <w:rPr>
          <w:color w:val="000000"/>
        </w:rPr>
        <w:t xml:space="preserve"> </w:t>
      </w:r>
      <w:r>
        <w:rPr>
          <w:rFonts w:ascii="Times New Roman;sans-serif" w:hAnsi="Times New Roman;sans-serif"/>
          <w:b/>
          <w:color w:val="000000"/>
          <w:sz w:val="20"/>
        </w:rPr>
        <w:t>services</w:t>
      </w:r>
      <w:r>
        <w:rPr>
          <w:color w:val="000000"/>
        </w:rPr>
        <w:t xml:space="preserve"> </w:t>
      </w:r>
      <w:r>
        <w:rPr>
          <w:rFonts w:ascii="Times New Roman;sans-serif" w:hAnsi="Times New Roman;sans-serif"/>
          <w:b/>
          <w:color w:val="000000"/>
          <w:sz w:val="20"/>
        </w:rPr>
        <w:t>revenue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Professional services revenue primarily includes data and analytics services, domain expertise services, Tech-enabled Managed Services, and implementation services. Professional services arrangements typically include a fee for making full-time equivalent (FTE) services available to our clients on a monthly basis. FTE services generally consist of a blend of analytic engineers, analysts, and data scientists based on the domain expertise needed to best serve our clients. Professional services are typically considered distinct from the technology offerings and revenue is generally recognized as the service is provided using the “right to invoice” practical expedient. </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Contracts with multiple performance obligations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contracts include multiple performance obligations. We account for performance obligations separately if they are capable of being distinct within the context of the contract. In these circumstances, the transaction price is allocated to separate performance obligations on a relative standalone selling price basis. We determine standalone selling prices based on the observable price a good or service is sold for separately when available. In cases where standalone selling prices are not directly observable, based on information available, we utilize the expected cost plus a margin, adjusted market assessment, or residual estimation method. We consider all information available including our overall pricing objectives, market conditions, and other factors, which may include client demographics and the types of users.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Standalone selling prices are not directly observable for our all-access and limited-access technology arrangements, which are composed of cloud-based subscriptions, time-based licenses, and perpetual licenses. For these technology arrangements, we generally use the residual method due to a limited number of standalone transactions and/or prices that are highly variable.</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Variable consideration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also entered into at-risk and shared savings arrangements with certain clients whereby we receive variable consideration based on the achievement of measurable improvements that may include cost savings or performance against metrics. For these arrangements, we estimate revenue using the most likely amount that we will receive. Estimates are based on our historical experience and best judgment at the time to the extent it is probable that a significant reversal of revenue recognized will not occur. Due to the nature of our arrangements, certain estimates may be constrained until the uncertainty is further resolved. </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resulting from services performed prior to invoicing clients are recorded as unbilled accounts receivable and are presented on our condensed consolidated balance sheets in aggregate with accounts receivable. Unbilled accounts receivable generally become billable at contractually specified dates or upon the attainment of contractually defined milestones. As of June 30, 2024 and December 31, 2023, the unbilled accounts receivable included in accounts receivable on our condensed consolidated balance sheets was $6.5 million and $4.7 million, respectively.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record contract liabilities as deferred revenue when cash payments are received or due in advance of performance. Deferred revenue primarily relates to the advance consideration received from the client. As of June 30, 2024 and December 31, 2023, the total of current and non-current deferred revenue on our condensed consolidated balance sheets was $56.4 million and $55.8 million, respectively.</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Deferred costs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capitalize sales commissions and associated fringe costs, such as benefits and payroll taxes, paid to direct sales personnel and other incremental costs of obtaining contracts with clients, provided we expect to recover those costs. We determine that costs should be deferred based on our sales compensation plans when the commissions are incremental and would not have occurred absent the client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50545"/>
                <wp:effectExtent l="0" t="0" r="0" b="0"/>
                <wp:wrapNone/>
                <wp:docPr id="15" name="Frame1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$2.2 million and $2.2 million, respectively, of deferred contract acquisition costs are expected to be amortized within the next 12 months and are included in prepaid expenses and other assets on the condensed consolidated balance sheets. As of June 30, 2024 and December 31, 2023, the remaining $2.9 million and $3.3 million, respectively, of deferred contract acquisition costs are included in non-current other assets.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Commissions paid upon the initial acquisition of a contract are amortized on a straight-line basis over an estimated period of benefit of four years. Amortization is recognized on a straight-line basis commensurate with the pattern of revenue recognition. The period of benefit was estimated by considering factors such as estimated average client life, the rate of technological change in our subscription service, and the impact of competition in our industry. As our average client life significantly exceeded the rate of change in our technology, we concluded that the rate of change in the technology underlying our subscription service was the most significant factor in determining the period of benefit for which the asset relates. In evaluating the rate of change in our technology, we considered the competition in our industry, our commitment to continuous innovation, and the frequency of product, platform, and technology updates. We determined that the impact of competition in our industry is reflected in the period of benefit through the rate of technological change. Amortization of deferred contract acquisition costs was $0.6 million and $0.5 million for the three months ended June 30, 2024 and 2023, respectively, and $1.3 million and $1.0 for the six months ended June 30, 2024 and 2023, respectively, and is included within sales and marketing expense in the condensed consolidated statements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defer certain costs to fulfill a contract when the costs are expected to be recovered, are directly related to in-process contracts, and enhance resources that will be used in satisfying performance obligations in the future. These deferred fulfillment costs primarily consist of employee compensation incurred as part of the implementation of new contracts. Amortization of deferred fulfillment costs is included within cost of revenue in the condensed consolidated statements of operations. We periodically review these deferred costs to determine whether events or changes in circumstances have occurred that could impact the period of benefit. There were no impairment losses recorded during the periods presented.</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Cost of revenue, excluding depreciation and amortization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technology revenue primarily consists of costs associated with hosting and supporting our technology, including third-party cloud computing and hosting costs, license and revenue share fees, contractor costs, and salary and related personnel costs for our cloud services and support teams. Cost of professional services revenue primarily consists of salary and related personnel costs, travel-related costs, and independent contractor costs. Cost of revenue in the interim condensed consolidated statements of operations excludes costs related to depreciation and amortization.</w:t>
      </w:r>
    </w:p>
    <w:p>
      <w:pPr>
        <w:pStyle w:val="TextBody"/>
        <w:bidi w:val="0"/>
        <w:spacing w:lineRule="auto" w:line="288" w:before="0" w:after="240"/>
        <w:jc w:val="left"/>
        <w:rPr/>
      </w:pPr>
      <w:r>
        <w:rPr>
          <w:rFonts w:ascii="Times New Roman;sans-serif" w:hAnsi="Times New Roman;sans-serif"/>
          <w:b/>
          <w:color w:val="000000"/>
          <w:sz w:val="20"/>
        </w:rPr>
        <w:t>Cash and</w:t>
      </w:r>
      <w:r>
        <w:rPr>
          <w:color w:val="000000"/>
        </w:rPr>
        <w:t xml:space="preserve"> </w:t>
      </w:r>
      <w:r>
        <w:rPr>
          <w:rFonts w:ascii="Times New Roman;sans-serif" w:hAnsi="Times New Roman;sans-serif"/>
          <w:b/>
          <w:color w:val="000000"/>
          <w:sz w:val="20"/>
        </w:rPr>
        <w:t>cash equivalents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purchased with a remaining maturity of three months or less at the time of acquisition to be cash equivalents.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Short-term investments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 policy limits investments to highly-rated instruments. We classify and account for our short-term investments as available for sale securities as we may sell these securities at any time for use in our current operations or for other purposes, even prior to maturity. As a result, we classify our short-term investments, including securities with contractual maturities beyond twelve months, within current assets in the condensed consolidated balance sheets. </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50545"/>
                <wp:effectExtent l="0" t="0" r="0" b="0"/>
                <wp:wrapNone/>
                <wp:docPr id="16" name="Frame1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non-interest bearing and are recorded at the original invoiced amount less an allowance for credit losses based on the probability of future collections. Our allowance is based on our estimate of expected credit losses for outstanding trade accounts receivables and unbilled receivables. </w:t>
      </w:r>
    </w:p>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expected credit losses based on historical write-off experience, an analysis of the aging of outstanding receivables, client payment patterns, the establishment of specific reserves for clients in an adverse financial condition, and our expectations of changes in macroeconomic conditions, including high interest rates and high inflation, that may impact the collectability of outstanding receivables. We reassess the adequacy of the allowance for credit losses each reporting period. The following table presents a rollforward of the allowance for credit losses (in thousands):</w:t>
      </w:r>
    </w:p>
    <w:tbl>
      <w:tblPr>
        <w:tblW w:w="9288" w:type="dxa"/>
        <w:jc w:val="left"/>
        <w:tblInd w:w="0" w:type="dxa"/>
        <w:tblLayout w:type="fixed"/>
        <w:tblCellMar>
          <w:top w:w="28" w:type="dxa"/>
          <w:left w:w="28" w:type="dxa"/>
          <w:bottom w:w="28" w:type="dxa"/>
          <w:right w:w="28" w:type="dxa"/>
        </w:tblCellMar>
      </w:tblPr>
      <w:tblGrid>
        <w:gridCol w:w="1614"/>
        <w:gridCol w:w="1416"/>
        <w:gridCol w:w="1425"/>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at the beginning of period</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credit losses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Write-offs, net of recoveries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at the end of period</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is a lease at inception. Operating leases are included in operating lease right-of-use (ROU) assets and operating lease liabilities in our condensed consolidated balance sheets. We have adopted the short-term lease recognition exemption policy. All of our leasing commitments are classified either as operating leases or otherwise qualify as short-term leases with lease terms of 12 months or less.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our lease contracts do not have a readily determinable implicit rate, we use our incremental borrowing rate based on the information available at the commencement date to determine the present value of lease payments. The incremental borrowing rate is the estimated rate incurred to borrow on a collateralized basis over a similar term and amount equal to the lease payments in a similar economic environment.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lease ROU asset also includes any lease payments made and excludes lease executory costs. Our lease terms may include options to extend or terminate the lease when it is reasonably certain that we will exercise the applicable option. Lease expense for lease payments is recognized on a straight-line basis over the lease term. Variable costs related to our leased office space, such as maintenance and utilities based on actual usage, are not included in the measurement of right-of-use assets and lease liabilities, but are expensed as incurred.</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Property and equipment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historical cost less accumulated depreciation. Repairs and maintenance costs that do not extend the useful life or improve the related assets are expensed as incurred. Depreciation is computed using the straight-line method over the estimated useful lives of the assets. The estimated useful life of each asset category is as follows:</w:t>
      </w:r>
    </w:p>
    <w:tbl>
      <w:tblPr>
        <w:tblW w:w="5774" w:type="dxa"/>
        <w:jc w:val="center"/>
        <w:tblInd w:w="0" w:type="dxa"/>
        <w:tblLayout w:type="fixed"/>
        <w:tblCellMar>
          <w:top w:w="28" w:type="dxa"/>
          <w:left w:w="28" w:type="dxa"/>
          <w:bottom w:w="28" w:type="dxa"/>
          <w:right w:w="28" w:type="dxa"/>
        </w:tblCellMar>
      </w:tblPr>
      <w:tblGrid>
        <w:gridCol w:w="782"/>
        <w:gridCol w:w="686"/>
        <w:gridCol w:w="691"/>
        <w:gridCol w:w="1056"/>
        <w:gridCol w:w="1056"/>
        <w:gridCol w:w="1503"/>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 years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 years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Lesser of lease term or estimated useful life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50545"/>
                <wp:effectExtent l="0" t="0" r="0" b="0"/>
                <wp:wrapNone/>
                <wp:docPr id="17" name="Frame1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4124" w:type="dxa"/>
        <w:jc w:val="center"/>
        <w:tblInd w:w="0" w:type="dxa"/>
        <w:tblLayout w:type="fixed"/>
        <w:tblCellMar>
          <w:top w:w="28" w:type="dxa"/>
          <w:left w:w="28" w:type="dxa"/>
          <w:bottom w:w="28" w:type="dxa"/>
          <w:right w:w="28" w:type="dxa"/>
        </w:tblCellMar>
      </w:tblPr>
      <w:tblGrid>
        <w:gridCol w:w="1173"/>
        <w:gridCol w:w="1029"/>
        <w:gridCol w:w="1037"/>
        <w:gridCol w:w="259"/>
        <w:gridCol w:w="259"/>
        <w:gridCol w:w="367"/>
      </w:tblGrid>
      <w:tr>
        <w:trPr/>
        <w:tc>
          <w:tcPr>
            <w:tcW w:w="117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 years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 costs</w:t>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 years</w:t>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there are indicators of potential impairment, we evaluate the recoverability of the carrying values by comparing the carrying amount of the applicable asset group to the estimated undiscounted future cash flows expected to be generated by the asset group over the remaining useful life of the primary asset, plus any terminal value, in the asset group. If the carrying amount of the asset group exceeds those estimated future net cash flows, an impairment charge is recognized based on the amount by which the carrying value of the long-lived assets exceeds the fair value of the assets.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Intangible assets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include developed technologies, client relationships, client contracts, and trademarks that were acquired in business combinations and asset acquisitions. Intangible assets also include the purchase of third-party computer software. The intangible assets are amortized using the straight-line method over the assets’ estimated useful lives. The estimated useful life of each asset category is as follows:</w:t>
      </w:r>
    </w:p>
    <w:tbl>
      <w:tblPr>
        <w:tblW w:w="4468" w:type="dxa"/>
        <w:jc w:val="left"/>
        <w:tblInd w:w="0" w:type="dxa"/>
        <w:tblLayout w:type="fixed"/>
        <w:tblCellMar>
          <w:top w:w="28" w:type="dxa"/>
          <w:left w:w="28" w:type="dxa"/>
          <w:bottom w:w="28" w:type="dxa"/>
          <w:right w:w="28" w:type="dxa"/>
        </w:tblCellMar>
      </w:tblPr>
      <w:tblGrid>
        <w:gridCol w:w="1259"/>
        <w:gridCol w:w="1108"/>
        <w:gridCol w:w="1112"/>
        <w:gridCol w:w="289"/>
        <w:gridCol w:w="289"/>
        <w:gridCol w:w="411"/>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technologies</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3-10 years</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 relationships and contract backlog</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 years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 licenses</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 years</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 years</w:t>
            </w:r>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We record goodwill as the difference between the aggregate consideration paid for a business combination and the fair value of the identifiable net tangible and intangible assets acquired. Goodwill includes the know-how of the assembled workforce, the ability of the workforce to further improve technology and product offerings, client relationships, and the expected cash flows resulting from these efforts. Goodwill may also include expected synergies resulting from the complementary strategic fit these businesses bring to existing operations. Goodwill is assessed for impairment annually on October 31 or more frequently if indicators of impairment are</w:t>
      </w:r>
      <w:r>
        <w:rPr>
          <w:color w:val="000000"/>
        </w:rPr>
        <w:t xml:space="preserve"> </w:t>
      </w:r>
      <w:r>
        <w:rPr>
          <w:rFonts w:ascii="Times New Roman;sans-serif" w:hAnsi="Times New Roman;sans-serif"/>
          <w:b w:val="false"/>
          <w:color w:val="000000"/>
          <w:sz w:val="20"/>
        </w:rPr>
        <w:t xml:space="preserve">present or circumstances suggest that impairment may exist.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first step in the goodwill impairment test is a qualitative analysis of factors that could be indicators of potential impairment. Judgment in the assessment of qualitative factors of impairment may include changes in business climate, market conditions, or other events impacting the reporting unit. Next, if a quantitative analysis is necessary, we compare the fair value of the reporting unit with its carrying amount, including goodwill. If the fair value of the reporting unit exceeds its carrying amount, the goodwill of the reporting unit is not considered impaired. Performing a quantitative goodwill impairment test includes the determination of the fair value of a reporting unit, which requires management to use significant judgment and estimation. The significant estimation is primarily due to the judgmental nature of the inputs to the valuation models used to measure the fair value of the reporting units, as well as the sensitivity of the respective fair values to the underlying significant assumptions. Typical methods to derive the fair value of reporting units include using the income or market approaches.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assumptions used to form the basis of the estimates include, among others, the selection of valuation methodologies, estimates of expected revenue, including revenue growth rates, and operating margins used to calculate projected future cash flows, risk-adjusted discount rates, and the selection of appropriate market comparable companies. Many of these significant assumptions are forward-looking and could be affected by future economic and market conditions. If a quantitative analysis is necessary, we typically engage the assistance of a valuation specialist in concluding on fair value measurements in connection with determining the fair values of our reporting units. If the carrying amount of the reporting unit exceeds its fair value, we would recognize an impairment charge for the amount by which the carrying amount exceeds the reporting unit’s fair value. There was no impairment of goodwill for the three and six months ended June 30, 2024 and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50545"/>
                <wp:effectExtent l="0" t="0" r="0" b="0"/>
                <wp:wrapNone/>
                <wp:docPr id="18" name="Frame1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180"/>
        <w:jc w:val="left"/>
        <w:rPr/>
      </w:pPr>
      <w:r>
        <w:rPr>
          <w:rFonts w:ascii="Times New Roman;sans-serif" w:hAnsi="Times New Roman;sans-serif"/>
          <w:b/>
          <w:color w:val="000000"/>
          <w:sz w:val="20"/>
        </w:rPr>
        <w:t>Business</w:t>
      </w:r>
      <w:r>
        <w:rPr>
          <w:color w:val="000000"/>
        </w:rPr>
        <w:t xml:space="preserve"> </w:t>
      </w:r>
      <w:r>
        <w:rPr>
          <w:rFonts w:ascii="Times New Roman;sans-serif" w:hAnsi="Times New Roman;sans-serif"/>
          <w:b/>
          <w:color w:val="000000"/>
          <w:sz w:val="20"/>
        </w:rPr>
        <w:t>combinations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businesses acquired in a business combination are included in our condensed consolidated financial statements from the date of the acquisition. Purchase accounting results in assets and liabilities of an acquired business generally being recorded at their estimated fair value on the acquisition date. Any excess consideration transferred over the fair value of the identifiable assets acquired and liabilities assumed is recognized as goodwill.</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perform valuations of assets acquired and liabilities assumed on each acquisition accounted for as a business combination in order to record the tangible and intangible assets acquired and liabilities assumed based on our best estimate of fair value. Determining the fair value of assets acquired and liabilities assumed requires management to use significant judgment and estimates including the selection of valuation methodologies, estimates of future revenue and cash flows, discount rates, and selection of comparable companies. Significant estimation is required in determining the fair value of the client-related intangible assets and technology-related intangible assets. The significant estimation is primarily due to the judgmental nature of the inputs to the valuation models used to measure the fair value of these intangible assets, as well as the sensitivity of the respective fair values to the underlying significant assumptions. We typically use the income approach or cost approach to measure the fair value of intangible assets. The significant assumptions used to form the basis of the estimates included the number of engineer hours required to develop technology, expected revenue including revenue growth rates, rate and timing of obsolescence, royalty rates and earnings before interest, taxes, depreciation and amortization (EBITDA) margin used in the estimate for client relationships, and backlog. Many of these significant assumptions were forward-looking and could be affected by future economic and market conditions. We engage the assistance of valuation specialists in concluding on fair value measurements in connection with determining fair values of material assets acquired and liabilities assumed in a business combination.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we expensed $2.1 million and $2.5 million, respectively, of transaction costs associated with business combinations. There were no transaction costs associated with business combinations during the six months ended June 30, 2023. The costs were expensed as incurred and are included in general and administrative expense in our condensed consolidated statements of operations.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Contingent consideration liabilities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acquisition consideration in business combinations may include an estimate for contingent consideration that will be paid if certain earn-out performance targets are met. The resulting contingent consideration liabilities are categorized as a Level 3 fair value measurement because we estimate projections during the earn-out period utilizing unobservable inputs, including various potential pay-out scenarios based on billings and revenue-related earn-out targets. Changes to the unobservable inputs could have a material impact on our condensed consolidated financial statements.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value the expected contingent consideration and the corresponding liabilities using the Monte Carlo method or Black-Scholes model based on estimates of potential payment scenarios. Probabilities are applied to each potential scenario and the resulting values are discounted using a rate that considers weighted average cost of capital as well as a specific risk premium associated with the riskiness of the earn-out itself, the related projections, projected payment dates, and volatility in the fair value of our common stock. The fair value of the contingent consideration is remeasured each reporting period.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portion of the contingent consideration liabilities that will be settled in shares of our common stock is classified as a component of non-current liabilities in our condensed consolidated balance sheets, while the portion to be paid in cash is classified as a component of current liabilities. Changes to the contingent consideration liabilities are reflected as part of general and administrative expense in our condensed consolidated statements of operations.</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50545"/>
                <wp:effectExtent l="0" t="0" r="0" b="0"/>
                <wp:wrapNone/>
                <wp:docPr id="19" name="Frame1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240"/>
        <w:jc w:val="left"/>
        <w:rPr/>
      </w:pPr>
      <w:r>
        <w:rPr>
          <w:rFonts w:ascii="Times New Roman;sans-serif" w:hAnsi="Times New Roman;sans-serif"/>
          <w:b/>
          <w:color w:val="000000"/>
          <w:sz w:val="20"/>
        </w:rPr>
        <w:t>Advertising</w:t>
      </w:r>
      <w:r>
        <w:rPr>
          <w:color w:val="000000"/>
        </w:rPr>
        <w:t xml:space="preserve"> </w:t>
      </w:r>
      <w:r>
        <w:rPr>
          <w:rFonts w:ascii="Times New Roman;sans-serif" w:hAnsi="Times New Roman;sans-serif"/>
          <w:b/>
          <w:color w:val="000000"/>
          <w:sz w:val="20"/>
        </w:rPr>
        <w:t>costs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advertising costs are expensed as incurred. For the three months ended June 30, 2024 and 2023, we incurred $0.3 million and $1.0 million of advertising costs, respectively, and $3.7 million and $1.2 million for the six months ended June 30, 2024 and 2023.</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Development costs and internal-use software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technology products that are developed to be sold externally, we determined that technological feasibility is reached shortly before the products are ready for general release. Any costs associated with software development between the time technological feasibility is reached and general release are inconsequential.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capitalize certain development costs incurred in connection with our internal-use software. These capitalized costs are primarily related to the software platforms that are hosted by us and accessed by our clients on a subscription basis. Costs incurred in the preliminary stages of development are expensed as incurred as research and development costs. Once an application has reached the development stage, internal and external costs, if direct and incremental, are capitalized until the software is substantially complete and ready for its intended use. We also capitalize costs related to specific upgrades and enhancements when it is probable the expenditures will result in additional functionality. Capitalized costs are recorded as part of property and equipment. Maintenance and training costs are expensed as incurred. Internal-use software is amortized on a straight-line basis over its estimated useful life with amortization included in depreciation and amortization expense in our condensed consolidated statements of operations. </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awards, including stock options, restricted stock units, performance-based restricted stock units, and restricted shares are measured and recognized in our condensed consolidated financial statements based on the fair value of the award on the grant date or, when applicable, the modification date. The grant date fair value of our stock-based awards is typically determined using the market closing price of our common stock on the date of grant; however, we also consider whether any adjustments are required when the market closing price does not reflect certain material non-public information that we know but is unavailable to marketplace participants on the date of grant. We record forfeitures of stock-based awards as the actual forfeitures occur.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awards subject to performance conditions, we record expense when the performance condition becomes probable. Each reporting period we evaluate the probability of achieving the performance criteria, estimate the number of shares that are expected to vest, and adjust the related compensation expense accordingly. For awards subject to market conditions, we estimate the fair value as of the grant date using a Monte Carlo simulation valuation model which requires the use of various assumptions, including historic stock price volatility and risk-free interest rates as of the valuation date corresponding to the length of time remaining in the performance period. Stock-based compensation expense for awards with market conditions is recognized over the requisite service period using the accelerated attribution method and is not reversed if the market condition is not met.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purchase rights issued under the 2019 Health Catalyst Employee Stock Purchase Plan (ESPP) is based on the Black-Scholes option-pricing model fair value of the estimated number of awards as of the beginning of the offering period. Stock-based compensation expense is recognized using the straight-line method over the offering period.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measurement date for non-employee awards is the date of grant. The compensation expense for non-employees is recognized, without changes in the fair value of the award, in the same period and in the same manner as though we had paid cash for the services, which is typically the vesting period of the respective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50545"/>
                <wp:effectExtent l="0" t="0" r="0" b="0"/>
                <wp:wrapNone/>
                <wp:docPr id="20" name="Frame2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Restructuring costs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restructuring costs as expenses directly associated with restructuring activities. Such costs include severance and related tax and benefit expenses from workforce reductions, impairment of discontinued capitalized software projects, and other miscellaneous charges. We record team member-related severance costs when there is a substantive plan in place and the related costs are probable and estimable. For one-time termination benefits for team members (i.e., no substantive plan or future service requirement), the cost is recorded when the terms of the one-time termination benefits are communicated to the impacted team members and the amount can be reasonably estimated. </w:t>
      </w:r>
    </w:p>
    <w:p>
      <w:pPr>
        <w:pStyle w:val="TextBody"/>
        <w:bidi w:val="0"/>
        <w:spacing w:lineRule="auto" w:line="288" w:before="0" w:after="240"/>
        <w:jc w:val="left"/>
        <w:rPr/>
      </w:pPr>
      <w:r>
        <w:rPr>
          <w:rFonts w:ascii="Times New Roman;sans-serif" w:hAnsi="Times New Roman;sans-serif"/>
          <w:b/>
          <w:color w:val="000000"/>
          <w:sz w:val="20"/>
        </w:rPr>
        <w:t>Income</w:t>
      </w:r>
      <w:r>
        <w:rPr>
          <w:color w:val="000000"/>
        </w:rPr>
        <w:t xml:space="preserve"> </w:t>
      </w:r>
      <w:r>
        <w:rPr>
          <w:rFonts w:ascii="Times New Roman;sans-serif" w:hAnsi="Times New Roman;sans-serif"/>
          <w:b/>
          <w:color w:val="000000"/>
          <w:sz w:val="20"/>
        </w:rPr>
        <w:t>taxes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balances are accounted for using the asset and liability method and reflect the effects of temporary differences between the financial reporting and tax bases of our assets and liabilities using enacted tax rates expected to apply when taxes are actually paid or recovered. In addition, deferred tax assets and liabilities are recorded for net operating loss (NOL) and tax credit carryforwards.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 two-step approach to recognize and measure uncertain income tax positions. The first step is to evaluate the tax position for recognition by determining if the weight of available evidence indicates it is more likely than not that the position will be sustained upon audit. The second step is to measure the tax benefit as the largest amount, which is more than 50% likely of being realized upon ultimate settlement.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accrue interest and penalties related to unrecognized tax benefits within the provision for income taxes because the impact would be immaterial due to our net operating losses and tax credit carryforwards. Significant judgment is required to evaluate uncertain tax positions.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we have adequately reserved for our uncertain tax positions, we can provide no assurance that the final tax outcome of these matters will not be materially different. We evaluate our uncertain tax positions on a regular basis and evaluations are based on a number of factors, including changes in facts and circumstances, changes in tax law, correspondence with tax authorities during the course of an audit, and effective settlement of audit issues. To the extent that the final tax outcome of these matters is different than the amounts recorded, such differences will affect the provision for income taxes in the period in which such determination is made and could have a material impact on our financial condition and results of operations.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reported in our condensed consolidated balance sheets for cash, receivables, accounts payable, and current accrued expenses approximate fair values because of the immediate or short-term maturity of these financial instruments. The carrying value of operating lease liabilities and convertible senior notes approximate fair value based on interest rates available for debt with similar terms at June 30, 2024 and December 31, 2023. Money market funds and short-term investments are measured at fair value on a recurring basis.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Level 1- Quoted prices in active markets for identical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50545"/>
                <wp:effectExtent l="0" t="0" r="0" b="0"/>
                <wp:wrapNone/>
                <wp:docPr id="21" name="Frame2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Level 2-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Level 3- Inputs that are generally unobservable and typically reflect management’s estimate of assumptions that market participants would use in pricing the asset or liability.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financial instruments are valued using quoted prices in active markets or based on other observable inputs. For Level 2 securities, we use a third-party pricing service which provides documentation on an ongoing basis that includes, among other things, pricing information with respect to reference data, methodology, inputs summarized by asset class, pricing application, and corroborative information. Our contingent consideration liabilities are categorized as a Level 3 fair value measurement because we estimate projections during the earn out period utilizing various potential pay-out scenarios.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Foreign currency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our international subsidiaries is generally their local currency. We translate these subsidiaries’ financial statements into U.S. dollars using month-end exchange rates for assets and liabilities and average exchange rates for revenue and expenses. We record translation gains and losses in accumulated other comprehensive loss in stockholders’ equity. We record foreign exchange gains and losses in interest and other expense, net. Our net foreign exchange gains and losses were not material for the periods presented.</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 not yet adopted</w:t>
      </w:r>
    </w:p>
    <w:p>
      <w:pPr>
        <w:pStyle w:val="TextBody"/>
        <w:bidi w:val="0"/>
        <w:spacing w:lineRule="auto" w:line="288" w:before="240" w:after="180"/>
        <w:ind w:left="0" w:right="0" w:firstLine="360"/>
        <w:jc w:val="both"/>
        <w:rPr/>
      </w:pPr>
      <w:r>
        <w:rPr>
          <w:rFonts w:ascii="Times New Roman;sans-serif" w:hAnsi="Times New Roman;sans-serif"/>
          <w:b w:val="false"/>
          <w:color w:val="000000"/>
          <w:sz w:val="20"/>
        </w:rPr>
        <w:t xml:space="preserve">In November 2023, the Financial Accounting Standards Board (FASB) issued ASU No. 2023-07, </w:t>
      </w:r>
      <w:r>
        <w:rPr>
          <w:rFonts w:ascii="Times New Roman;sans-serif" w:hAnsi="Times New Roman;sans-serif"/>
          <w:b w:val="false"/>
          <w:i/>
          <w:color w:val="000000"/>
          <w:sz w:val="20"/>
        </w:rPr>
        <w:t>Improvements to Reportable Segment Disclosures (Topic 280)</w:t>
      </w:r>
      <w:r>
        <w:rPr>
          <w:rFonts w:ascii="Times New Roman;sans-serif" w:hAnsi="Times New Roman;sans-serif"/>
          <w:b w:val="false"/>
          <w:color w:val="000000"/>
          <w:sz w:val="20"/>
        </w:rPr>
        <w:t>. This ASU updates reportable segment disclosure requirements by requiring disclosures of significant reportable segment expenses that are regularly provided to the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permitted. We are currently evaluating the provisions of this ASU and expect to adopt them for the year ending December 31, 2024.</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Improvements to Income Tax Disclosures (Topic 740)</w:t>
      </w:r>
      <w:r>
        <w:rPr>
          <w:rFonts w:ascii="Times New Roman;sans-serif" w:hAnsi="Times New Roman;sans-serif"/>
          <w:b w:val="false"/>
          <w:color w:val="000000"/>
          <w:sz w:val="20"/>
        </w:rPr>
        <w:t>. The ASU requires disaggregated information about a reporting entity’s effective tax rate reconciliation as well as additional information on income taxes paid. The ASU is effective on a prospective basis for annual periods beginning after December 15, 2024. Early adoption is permitted. This ASU will result in the required additional disclosures being included in our consolidated financial statements, once adopted. We are currently evaluating the provisions of this ASU and expect to adopt them for the year ending December 31, 2025.</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50545"/>
                <wp:effectExtent l="0" t="0" r="0" b="0"/>
                <wp:wrapNone/>
                <wp:docPr id="22" name="Frame2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2. Business Combinations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business acquisition discussed below is included in our results of operations from the date of acquisition</w:t>
      </w:r>
      <w:r>
        <w:rPr>
          <w:rFonts w:ascii="Times New Roman;sans-serif" w:hAnsi="Times New Roman;sans-serif"/>
          <w:b w:val="false"/>
          <w:i/>
          <w:color w:val="000000"/>
          <w:sz w:val="20"/>
        </w:rPr>
        <w:t>.</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2024 Acquisition of Carevive Systems, Inc.</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On May 24, 2024, we acquired Carevive Systems, Inc. (Carevive), a leading oncology-focused health technology company centered on understanding and improving the experience of patients with cancer. </w:t>
      </w:r>
      <w:r>
        <w:rPr>
          <w:rFonts w:ascii="Times New Roman;sans-serif" w:hAnsi="Times New Roman;sans-serif"/>
          <w:b w:val="false"/>
          <w:color w:val="000000"/>
          <w:sz w:val="20"/>
          <w:shd w:fill="FFFFFF" w:val="clear"/>
        </w:rPr>
        <w:t xml:space="preserve">We accounted for the acquisition of Carevive as a business combination. Oncology providers and life science researchers use Carevive’s flagship platform and/or Carevive data in routine clinical practice for treatment care planning, clinical trial screening, care coordination, remote patient monitoring, and/or post-treatment care. The acquisition consideration transferred was </w:t>
      </w:r>
      <w:r>
        <w:rPr>
          <w:rFonts w:ascii="Times New Roman;sans-serif" w:hAnsi="Times New Roman;sans-serif"/>
          <w:b w:val="false"/>
          <w:color w:val="000000"/>
          <w:sz w:val="20"/>
        </w:rPr>
        <w:t>$22.1 million</w:t>
      </w:r>
      <w:r>
        <w:rPr>
          <w:color w:val="000000"/>
          <w:shd w:fill="FFFFFF" w:val="clear"/>
        </w:rPr>
        <w:t xml:space="preserve"> </w:t>
      </w:r>
      <w:r>
        <w:rPr>
          <w:rFonts w:ascii="Times New Roman;sans-serif" w:hAnsi="Times New Roman;sans-serif"/>
          <w:b w:val="false"/>
          <w:color w:val="000000"/>
          <w:sz w:val="20"/>
          <w:shd w:fill="FFFFFF" w:val="clear"/>
        </w:rPr>
        <w:t>and was comprised of</w:t>
      </w:r>
      <w:r>
        <w:rPr>
          <w:color w:val="000000"/>
        </w:rPr>
        <w:t xml:space="preserve"> </w:t>
      </w:r>
      <w:r>
        <w:rPr>
          <w:rFonts w:ascii="Times New Roman;sans-serif" w:hAnsi="Times New Roman;sans-serif"/>
          <w:b w:val="false"/>
          <w:color w:val="000000"/>
          <w:sz w:val="20"/>
        </w:rPr>
        <w:t xml:space="preserve">estimated net cash consideration of $18.6 million, Health Catalyst common shares with a fair value of $2.6 million, and contingent consideration based on certain earn-out performance targets for Carevive during an earn-out period ending on June 30, 2025, with an initial fair value of $0.9 million. The purchase resulted in Health Catalyst acquiring 100% ownership in Carevive. </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preliminary acquisition-date fair value of consideration transferred and the identifiable assets purchased and liabilities assumed as part of our acquisition of Carevive (in thousands):</w:t>
      </w:r>
    </w:p>
    <w:tbl>
      <w:tblPr>
        <w:tblW w:w="5406" w:type="dxa"/>
        <w:jc w:val="left"/>
        <w:tblInd w:w="0" w:type="dxa"/>
        <w:tblLayout w:type="fixed"/>
        <w:tblCellMar>
          <w:top w:w="28" w:type="dxa"/>
          <w:left w:w="28" w:type="dxa"/>
          <w:bottom w:w="28" w:type="dxa"/>
          <w:right w:w="28" w:type="dxa"/>
        </w:tblCellMar>
      </w:tblPr>
      <w:tblGrid>
        <w:gridCol w:w="1565"/>
        <w:gridCol w:w="1375"/>
        <w:gridCol w:w="1380"/>
        <w:gridCol w:w="211"/>
        <w:gridCol w:w="721"/>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liabilities assumed: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transferred, net of cash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acquired intangible assets were valued utilizing either an income approach or a cost approach as deemed most applicable, and include client relationships, developed technology, and trademarks that will be amortized on a straight-line basis over their estimated useful lives of seven years, four years, and three years, respectively. The resulting goodwill from the Carevive acquisition was fully allocated to the technology reporting unit and is not deductible for income tax purposes. </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preliminary allocation of the consideration transferred is subject to potential adjustments. Balances subject to adjustment are primarily tax-related matters, including the tax basis of assets acquired and liabilities assumed. During the measurement period, we may record adjustments to the provisional amounts recognized in our initial accounting for the acquisition. We expect the allocation of the consideration transferred to be final within the measurement period (up to one year from the acquisition date). There were no measurement period adjustments recorded during the three months ended June 30, 2024. </w:t>
      </w:r>
    </w:p>
    <w:p>
      <w:pPr>
        <w:pStyle w:val="TextBody"/>
        <w:bidi w:val="0"/>
        <w:spacing w:before="18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50545"/>
                <wp:effectExtent l="0" t="0" r="0" b="0"/>
                <wp:wrapNone/>
                <wp:docPr id="23" name="Frame2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 forma financial information has not been presented for the Carevive acquisition as the impact to our consolidated financial statements was not material. The amount of revenue attributable to the acquired business of Carevive was not material to our consolidated statement of operations for the three and six months ended June 30, 2024. Income (loss) information for Carevive after the acquisition date through June 30, 2024 is not presented as the Carevive business was integrated into our operations immediately following the acquisition and is impracticable to quantify.</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purchase price, we agreed to make cash retention payments in an aggregate amount of up to $1.8 million to continuing Carevive team members, a portion of which is variable based upon the achievement of earn-out performance targets. The retention payments are generally subject to vesting based upon continued employment over a required service period. Such amounts are recorded as post-combination compensation expense and recognized on a straight-line basis over the relevant vesting terms. During the three months ended June 30, 2024, we recognized compensation expense of $0.8 million related to these retention payments.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Acquisition of Electronic Registry Systems, Inc.</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On October 2, 2023, we acquired Electronic Registry Systems, Inc. (ERS)</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shd w:fill="FFFFFF" w:val="clear"/>
        </w:rPr>
        <w:t>a cloud-based provider of clinical registry development and data management software based in Cincinnati, Ohio. We accounted for the acquisition of ERS as a business combination. ERS provides cancer registry compliance and informatics services to enable customers to achieve their cancer center clinical and business objectives with a goal of improving cancer care for every patient, including through its CRStar platform. The acquisition consideration transferred comprised of</w:t>
      </w:r>
      <w:r>
        <w:rPr>
          <w:color w:val="000000"/>
        </w:rPr>
        <w:t xml:space="preserve"> </w:t>
      </w:r>
      <w:r>
        <w:rPr>
          <w:rFonts w:ascii="Times New Roman;sans-serif" w:hAnsi="Times New Roman;sans-serif"/>
          <w:b w:val="false"/>
          <w:color w:val="000000"/>
          <w:sz w:val="20"/>
        </w:rPr>
        <w:t xml:space="preserve">net cash consideration of </w:t>
      </w:r>
      <w:r>
        <w:rPr>
          <w:rFonts w:ascii="Times New Roman;sans-serif" w:hAnsi="Times New Roman;sans-serif"/>
          <w:b w:val="false"/>
          <w:color w:val="000000"/>
          <w:sz w:val="20"/>
          <w:shd w:fill="FFFFFF" w:val="clear"/>
        </w:rPr>
        <w:t>$11.4 million.</w:t>
      </w:r>
      <w:r>
        <w:rPr>
          <w:color w:val="000000"/>
        </w:rPr>
        <w:t xml:space="preserve"> </w:t>
      </w:r>
      <w:r>
        <w:rPr>
          <w:rFonts w:ascii="Times New Roman;sans-serif" w:hAnsi="Times New Roman;sans-serif"/>
          <w:b w:val="false"/>
          <w:color w:val="000000"/>
          <w:sz w:val="20"/>
        </w:rPr>
        <w:t>The purchase resulted in Health Catalyst acquiring 100% ownership in ERS.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An</w:t>
      </w:r>
      <w:r>
        <w:rPr>
          <w:color w:val="000000"/>
          <w:shd w:fill="FFFFFF" w:val="clear"/>
        </w:rPr>
        <w:t xml:space="preserve"> </w:t>
      </w:r>
      <w:r>
        <w:rPr>
          <w:rFonts w:ascii="Times New Roman;sans-serif" w:hAnsi="Times New Roman;sans-serif"/>
          <w:b w:val="false"/>
          <w:color w:val="000000"/>
          <w:sz w:val="20"/>
          <w:shd w:fill="FFFFFF" w:val="clear"/>
        </w:rPr>
        <w:t xml:space="preserve">additional 175,901 shares of our common stock subject to a restriction agreement (restricted shares) were issued pursuant to the terms of the acquisition agreement. </w:t>
      </w:r>
      <w:r>
        <w:rPr>
          <w:rFonts w:ascii="Times New Roman;sans-serif" w:hAnsi="Times New Roman;sans-serif"/>
          <w:b w:val="false"/>
          <w:color w:val="000000"/>
          <w:sz w:val="20"/>
        </w:rPr>
        <w:t xml:space="preserve">The vesting of these restricted shares was originally subject to eighteen months of continued employment with cliff vesting upon the eighteen-month anniversary of the acquisition close date. </w:t>
      </w:r>
      <w:r>
        <w:rPr>
          <w:rFonts w:ascii="Times New Roman;sans-serif" w:hAnsi="Times New Roman;sans-serif"/>
          <w:b w:val="false"/>
          <w:color w:val="000000"/>
          <w:sz w:val="20"/>
          <w:shd w:fill="FFFFFF" w:val="clear"/>
        </w:rPr>
        <w:t>The value of these restricted sha</w:t>
      </w:r>
      <w:r>
        <w:rPr>
          <w:rFonts w:ascii="Times New Roman;sans-serif" w:hAnsi="Times New Roman;sans-serif"/>
          <w:b w:val="false"/>
          <w:color w:val="000000"/>
          <w:sz w:val="20"/>
        </w:rPr>
        <w:t>res was originally scheduled to be recognized as post-combination stock-based compensation expense on a straight-line basis over the vesting term, but due to workforce reductions made as part of the 2023 Restructuring Plan (as defined below), the ERS restricted shares fully vested in February 2024, resulting in an acceleration of the related stock-based compensation expense. Refer to Note 13-Stock-Based Compensation for additional details related to our stock-based compensation.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preliminary acquisition-date fair value of consideration transferred and the identifiable assets purchased and liabilities assumed as part of our acquisition of ERS (in thousands):</w:t>
      </w:r>
    </w:p>
    <w:tbl>
      <w:tblPr>
        <w:tblW w:w="5406" w:type="dxa"/>
        <w:jc w:val="left"/>
        <w:tblInd w:w="0" w:type="dxa"/>
        <w:tblLayout w:type="fixed"/>
        <w:tblCellMar>
          <w:top w:w="28" w:type="dxa"/>
          <w:left w:w="28" w:type="dxa"/>
          <w:bottom w:w="28" w:type="dxa"/>
          <w:right w:w="28" w:type="dxa"/>
        </w:tblCellMar>
      </w:tblPr>
      <w:tblGrid>
        <w:gridCol w:w="1565"/>
        <w:gridCol w:w="1375"/>
        <w:gridCol w:w="1380"/>
        <w:gridCol w:w="211"/>
        <w:gridCol w:w="721"/>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liabilities assumed: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transferred, net of cash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acquired intangible assets were valued utilizing either an income approach or a cost approach as deemed most applicable, and include client relationships, developed technology, and trademarks that will be amortized on a straight-line basis over their estimated useful lives of seven years, four years, and two years,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50545"/>
                <wp:effectExtent l="0" t="0" r="0" b="0"/>
                <wp:wrapNone/>
                <wp:docPr id="24" name="Frame2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resulting goodwill from the ERS acquisition was fully allocated to the technology reporting unit and is deductible for income tax purposes. </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preliminary allocation of the consideration transferred is subject to potential adjustments. Balances subject to adjustment are primarily tax-related matters, including the tax basis of acquired assets and liabilities. During the measurement period, we may record adjustments to the provisional amounts recognized in our initial accounting for the acquisition. We expect the allocation of the consideration transferred to be final within the measurement period (up to one year from the acquisition date). There were no measurement period adjustments recorded during the six months ended June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3. Revenue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Health Catalyst’s revenue disaggregated by type of arrangement (in thousands):</w:t>
      </w:r>
    </w:p>
    <w:tbl>
      <w:tblPr>
        <w:tblW w:w="9120" w:type="dxa"/>
        <w:jc w:val="left"/>
        <w:tblInd w:w="0" w:type="dxa"/>
        <w:tblLayout w:type="fixed"/>
        <w:tblCellMar>
          <w:top w:w="28" w:type="dxa"/>
          <w:left w:w="28" w:type="dxa"/>
          <w:bottom w:w="28" w:type="dxa"/>
          <w:right w:w="28" w:type="dxa"/>
        </w:tblCellMar>
      </w:tblPr>
      <w:tblGrid>
        <w:gridCol w:w="1348"/>
        <w:gridCol w:w="1182"/>
        <w:gridCol w:w="1190"/>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One-time technology (i.e., perpetual license)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related to contracts with clients located in the United States was 97.9% and 98.4% for the three months ended June 30, 2024 and 2023, respectively, and 97.9% and 98.2% for the six months ended June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4. Goodwill and Intangible Assets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our business in two operating segments that also represent our reporting units. Our reporting units are organized based on our technology and professional services. We have not incurred any goodwill impairment charges.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by reporting unit is as follows (in thousands):</w:t>
      </w:r>
    </w:p>
    <w:tbl>
      <w:tblPr>
        <w:tblW w:w="4463" w:type="dxa"/>
        <w:jc w:val="left"/>
        <w:tblInd w:w="0" w:type="dxa"/>
        <w:tblLayout w:type="fixed"/>
        <w:tblCellMar>
          <w:top w:w="28" w:type="dxa"/>
          <w:left w:w="28" w:type="dxa"/>
          <w:bottom w:w="28" w:type="dxa"/>
          <w:right w:w="28" w:type="dxa"/>
        </w:tblCellMar>
      </w:tblPr>
      <w:tblGrid>
        <w:gridCol w:w="651"/>
        <w:gridCol w:w="573"/>
        <w:gridCol w:w="575"/>
        <w:gridCol w:w="211"/>
        <w:gridCol w:w="826"/>
        <w:gridCol w:w="109"/>
        <w:gridCol w:w="109"/>
        <w:gridCol w:w="109"/>
        <w:gridCol w:w="109"/>
        <w:gridCol w:w="211"/>
        <w:gridCol w:w="82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December 31,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50545"/>
                <wp:effectExtent l="0" t="0" r="0" b="0"/>
                <wp:wrapNone/>
                <wp:docPr id="25" name="Frame2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intangible assets consisted of the following (in thousands):</w:t>
      </w:r>
    </w:p>
    <w:tbl>
      <w:tblPr>
        <w:tblW w:w="7804" w:type="dxa"/>
        <w:jc w:val="left"/>
        <w:tblInd w:w="0" w:type="dxa"/>
        <w:tblLayout w:type="fixed"/>
        <w:tblCellMar>
          <w:top w:w="28" w:type="dxa"/>
          <w:left w:w="28" w:type="dxa"/>
          <w:bottom w:w="28" w:type="dxa"/>
          <w:right w:w="28" w:type="dxa"/>
        </w:tblCellMar>
      </w:tblPr>
      <w:tblGrid>
        <w:gridCol w:w="1031"/>
        <w:gridCol w:w="908"/>
        <w:gridCol w:w="910"/>
        <w:gridCol w:w="211"/>
        <w:gridCol w:w="826"/>
        <w:gridCol w:w="109"/>
        <w:gridCol w:w="109"/>
        <w:gridCol w:w="109"/>
        <w:gridCol w:w="109"/>
        <w:gridCol w:w="357"/>
        <w:gridCol w:w="1528"/>
        <w:gridCol w:w="184"/>
        <w:gridCol w:w="109"/>
        <w:gridCol w:w="109"/>
        <w:gridCol w:w="109"/>
        <w:gridCol w:w="211"/>
        <w:gridCol w:w="721"/>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 relationships and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 licenses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(148,855)</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of acquired intangible assets was $7.5 million and $7.5 million for the three months ended June 30, 2024 and 2023, respectively, and $14.8 million and $15.3 million for the six months ended June 30, 2024 and 2023, respectively. Amortization expense for intangible assets is included in depreciation and amortization in our condensed consolidated statements of operations. We have not incurred any intangible asset impairment charges for the three and six months ended June 30, 2024 and 2023.</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intangible assets consisted of the following (in thousands):</w:t>
      </w:r>
    </w:p>
    <w:tbl>
      <w:tblPr>
        <w:tblW w:w="7804" w:type="dxa"/>
        <w:jc w:val="left"/>
        <w:tblInd w:w="0" w:type="dxa"/>
        <w:tblLayout w:type="fixed"/>
        <w:tblCellMar>
          <w:top w:w="28" w:type="dxa"/>
          <w:left w:w="28" w:type="dxa"/>
          <w:bottom w:w="28" w:type="dxa"/>
          <w:right w:w="28" w:type="dxa"/>
        </w:tblCellMar>
      </w:tblPr>
      <w:tblGrid>
        <w:gridCol w:w="1031"/>
        <w:gridCol w:w="908"/>
        <w:gridCol w:w="910"/>
        <w:gridCol w:w="211"/>
        <w:gridCol w:w="826"/>
        <w:gridCol w:w="109"/>
        <w:gridCol w:w="109"/>
        <w:gridCol w:w="109"/>
        <w:gridCol w:w="109"/>
        <w:gridCol w:w="357"/>
        <w:gridCol w:w="1528"/>
        <w:gridCol w:w="184"/>
        <w:gridCol w:w="109"/>
        <w:gridCol w:w="109"/>
        <w:gridCol w:w="109"/>
        <w:gridCol w:w="211"/>
        <w:gridCol w:w="721"/>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(79,057)</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 relationships and contracts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(45,230)</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 licenses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(134,109)</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5. Property and Equipment</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(in thousands):</w:t>
      </w:r>
    </w:p>
    <w:tbl>
      <w:tblPr>
        <w:tblW w:w="5746" w:type="dxa"/>
        <w:jc w:val="left"/>
        <w:tblInd w:w="0" w:type="dxa"/>
        <w:tblLayout w:type="fixed"/>
        <w:tblCellMar>
          <w:top w:w="28" w:type="dxa"/>
          <w:left w:w="28" w:type="dxa"/>
          <w:bottom w:w="28" w:type="dxa"/>
          <w:right w:w="28" w:type="dxa"/>
        </w:tblCellMar>
      </w:tblPr>
      <w:tblGrid>
        <w:gridCol w:w="1173"/>
        <w:gridCol w:w="1029"/>
        <w:gridCol w:w="1037"/>
        <w:gridCol w:w="211"/>
        <w:gridCol w:w="721"/>
        <w:gridCol w:w="109"/>
        <w:gridCol w:w="109"/>
        <w:gridCol w:w="109"/>
        <w:gridCol w:w="109"/>
        <w:gridCol w:w="221"/>
        <w:gridCol w:w="757"/>
        <w:gridCol w:w="161"/>
      </w:tblGrid>
      <w:tr>
        <w:trPr/>
        <w:tc>
          <w:tcPr>
            <w:tcW w:w="117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December 31,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long-lived assets are located in the United States. Depreciation expense totaled $3.1 million and $3.2 million for the three months ended June 30, 2024 and 2023, respectively, and $6.4 million and $6.4 million for the six months ended June 30, 2024 and 2023, respectively. Depreciation expense includes the amortization of capitalized internal-use software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50545"/>
                <wp:effectExtent l="0" t="0" r="0" b="0"/>
                <wp:wrapNone/>
                <wp:docPr id="26" name="Frame2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each of the six months ended June 30, 2024 and 2023, we impaired $0.7 million of leasehold improvements related to our corporate office space designated for subleasing. Refer to Note 9 for additional details. </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capitalized $3.6 million and $3.2 million of internal-use software costs for the three months ended June 30, 2024 and 2023, respectively, and $6.4 million and $6.6 million for the six months ended June 30, 2024 and 2023, respectively. We incurred $2.3 million and $2.1 million of capitalized internal-use software cost amortization expense for the three months ended June 30, 2024 and 2023, respectively, and $4.7 million and $4.3 million for the six months ended June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Times New Roman;sans-serif" w:hAnsi="Times New Roman;sans-serif"/>
          <w:b/>
          <w:color w:val="000000"/>
          <w:sz w:val="20"/>
        </w:rPr>
      </w:pPr>
      <w:r>
        <w:rPr>
          <w:rFonts w:ascii="Times New Roman;sans-serif" w:hAnsi="Times New Roman;sans-serif"/>
          <w:b/>
          <w:color w:val="000000"/>
          <w:sz w:val="20"/>
        </w:rPr>
        <w:t>6. Short-term Investments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short-term investments as available for sale. Available-for-sale securities are recorded on our condensed consolidated balance sheets at fair market value and any unrealized gains or losses are reported as part of other comprehensive loss on the condensed consolidated statements of comprehensive loss. We determine realized gains or losses on the sales of investments through the specific identification method and record such gains or losses as part of interest and other expense, net on the condensed consolidated statements of operations. We did not have any material realized gains or losses on investments during the three and six months ended June 30, 2024 and 2023. We measure the fair value of investments on a recurring basis.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by major security type, our cash equivalents and short-term investments that are measured at fair value on a recurring basis as of June 30, 2024 (in thousands):</w:t>
      </w:r>
    </w:p>
    <w:tbl>
      <w:tblPr>
        <w:tblW w:w="10205" w:type="dxa"/>
        <w:jc w:val="left"/>
        <w:tblInd w:w="0" w:type="dxa"/>
        <w:tblLayout w:type="fixed"/>
        <w:tblCellMar>
          <w:top w:w="28" w:type="dxa"/>
          <w:left w:w="28" w:type="dxa"/>
          <w:bottom w:w="28" w:type="dxa"/>
          <w:right w:w="28" w:type="dxa"/>
        </w:tblCellMar>
      </w:tblPr>
      <w:tblGrid>
        <w:gridCol w:w="650"/>
        <w:gridCol w:w="373"/>
        <w:gridCol w:w="369"/>
        <w:gridCol w:w="218"/>
        <w:gridCol w:w="855"/>
        <w:gridCol w:w="112"/>
        <w:gridCol w:w="109"/>
        <w:gridCol w:w="109"/>
        <w:gridCol w:w="109"/>
        <w:gridCol w:w="311"/>
        <w:gridCol w:w="601"/>
        <w:gridCol w:w="162"/>
        <w:gridCol w:w="109"/>
        <w:gridCol w:w="109"/>
        <w:gridCol w:w="109"/>
        <w:gridCol w:w="315"/>
        <w:gridCol w:w="607"/>
        <w:gridCol w:w="164"/>
        <w:gridCol w:w="109"/>
        <w:gridCol w:w="109"/>
        <w:gridCol w:w="109"/>
        <w:gridCol w:w="211"/>
        <w:gridCol w:w="826"/>
        <w:gridCol w:w="109"/>
        <w:gridCol w:w="109"/>
        <w:gridCol w:w="109"/>
        <w:gridCol w:w="109"/>
        <w:gridCol w:w="224"/>
        <w:gridCol w:w="877"/>
        <w:gridCol w:w="115"/>
        <w:gridCol w:w="109"/>
        <w:gridCol w:w="109"/>
        <w:gridCol w:w="109"/>
        <w:gridCol w:w="259"/>
        <w:gridCol w:w="1015"/>
        <w:gridCol w:w="197"/>
      </w:tblGrid>
      <w:tr>
        <w:trPr/>
        <w:tc>
          <w:tcPr>
            <w:tcW w:w="65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r>
      <w:tr>
        <w:trPr/>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303,159 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196,717 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106,361 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by major security type, our cash equivalents and short-term investments that are measured at fair value on a recurring basis as of December 31, 2023 (in thousands):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663"/>
        <w:gridCol w:w="388"/>
        <w:gridCol w:w="384"/>
        <w:gridCol w:w="218"/>
        <w:gridCol w:w="856"/>
        <w:gridCol w:w="112"/>
        <w:gridCol w:w="109"/>
        <w:gridCol w:w="109"/>
        <w:gridCol w:w="109"/>
        <w:gridCol w:w="288"/>
        <w:gridCol w:w="640"/>
        <w:gridCol w:w="151"/>
        <w:gridCol w:w="109"/>
        <w:gridCol w:w="109"/>
        <w:gridCol w:w="109"/>
        <w:gridCol w:w="316"/>
        <w:gridCol w:w="610"/>
        <w:gridCol w:w="164"/>
        <w:gridCol w:w="109"/>
        <w:gridCol w:w="109"/>
        <w:gridCol w:w="109"/>
        <w:gridCol w:w="211"/>
        <w:gridCol w:w="826"/>
        <w:gridCol w:w="109"/>
        <w:gridCol w:w="109"/>
        <w:gridCol w:w="109"/>
        <w:gridCol w:w="109"/>
        <w:gridCol w:w="234"/>
        <w:gridCol w:w="801"/>
        <w:gridCol w:w="121"/>
        <w:gridCol w:w="109"/>
        <w:gridCol w:w="109"/>
        <w:gridCol w:w="109"/>
        <w:gridCol w:w="260"/>
        <w:gridCol w:w="1020"/>
        <w:gridCol w:w="198"/>
      </w:tblGrid>
      <w:tr>
        <w:trPr/>
        <w:tc>
          <w:tcPr>
            <w:tcW w:w="66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r>
      <w:tr>
        <w:trPr/>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99,779 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99,779 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311,144 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99,779 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211,452 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contractual maturities of our short-term investments as of June 30, 2024 and December 31, 2023 (in thousands):</w:t>
      </w:r>
    </w:p>
    <w:tbl>
      <w:tblPr>
        <w:tblW w:w="7563" w:type="dxa"/>
        <w:jc w:val="left"/>
        <w:tblInd w:w="0" w:type="dxa"/>
        <w:tblLayout w:type="fixed"/>
        <w:tblCellMar>
          <w:top w:w="28" w:type="dxa"/>
          <w:left w:w="28" w:type="dxa"/>
          <w:bottom w:w="28" w:type="dxa"/>
          <w:right w:w="28" w:type="dxa"/>
        </w:tblCellMar>
      </w:tblPr>
      <w:tblGrid>
        <w:gridCol w:w="636"/>
        <w:gridCol w:w="557"/>
        <w:gridCol w:w="562"/>
        <w:gridCol w:w="229"/>
        <w:gridCol w:w="898"/>
        <w:gridCol w:w="118"/>
        <w:gridCol w:w="109"/>
        <w:gridCol w:w="109"/>
        <w:gridCol w:w="109"/>
        <w:gridCol w:w="211"/>
        <w:gridCol w:w="826"/>
        <w:gridCol w:w="109"/>
        <w:gridCol w:w="109"/>
        <w:gridCol w:w="109"/>
        <w:gridCol w:w="109"/>
        <w:gridCol w:w="229"/>
        <w:gridCol w:w="898"/>
        <w:gridCol w:w="118"/>
        <w:gridCol w:w="109"/>
        <w:gridCol w:w="109"/>
        <w:gridCol w:w="109"/>
        <w:gridCol w:w="211"/>
        <w:gridCol w:w="82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50545"/>
                <wp:effectExtent l="0" t="0" r="0" b="0"/>
                <wp:wrapNone/>
                <wp:docPr id="27" name="Frame2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interest receivables related to our available-for-sale securities of $1.2 million and $0.9 million as of June 30, 2024 and December 31, 2023, respectively, were included within prepaid expenses and other assets on our condensed consolidated balance sheets.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 quarterly basis we evaluate unrealized losses on our available-for-sale debt securities and the related accrued interest receivables to determine whether a decline in the fair value below the amortized cost basis is due to credit-related factors or noncredit-related factors. We do not intend to sell investments that are in an unrealized loss position and it is not likely that we will be required to sell any investments before recovery of their amortized cost basis. As of June 30, 2024 and December 31, 2023, there were no material unrealized losses due to expected credit loss-related factors.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7. Fair Value of Financial Instruments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measured at fair value on a recurring basis as of June 30, 2024 were as follows (in thousands):</w:t>
      </w:r>
    </w:p>
    <w:tbl>
      <w:tblPr>
        <w:tblW w:w="8250" w:type="dxa"/>
        <w:jc w:val="left"/>
        <w:tblInd w:w="0" w:type="dxa"/>
        <w:tblLayout w:type="fixed"/>
        <w:tblCellMar>
          <w:top w:w="28" w:type="dxa"/>
          <w:left w:w="28" w:type="dxa"/>
          <w:bottom w:w="28" w:type="dxa"/>
          <w:right w:w="28" w:type="dxa"/>
        </w:tblCellMar>
      </w:tblPr>
      <w:tblGrid>
        <w:gridCol w:w="1095"/>
        <w:gridCol w:w="965"/>
        <w:gridCol w:w="970"/>
        <w:gridCol w:w="211"/>
        <w:gridCol w:w="826"/>
        <w:gridCol w:w="109"/>
        <w:gridCol w:w="109"/>
        <w:gridCol w:w="109"/>
        <w:gridCol w:w="109"/>
        <w:gridCol w:w="211"/>
        <w:gridCol w:w="721"/>
        <w:gridCol w:w="109"/>
        <w:gridCol w:w="109"/>
        <w:gridCol w:w="109"/>
        <w:gridCol w:w="109"/>
        <w:gridCol w:w="211"/>
        <w:gridCol w:w="541"/>
        <w:gridCol w:w="109"/>
        <w:gridCol w:w="109"/>
        <w:gridCol w:w="109"/>
        <w:gridCol w:w="109"/>
        <w:gridCol w:w="211"/>
        <w:gridCol w:w="826"/>
        <w:gridCol w:w="154"/>
      </w:tblGrid>
      <w:tr>
        <w:trPr/>
        <w:tc>
          <w:tcPr>
            <w:tcW w:w="109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recurring basis as of December 31, 2023 were as follows (in thousands):</w:t>
      </w:r>
    </w:p>
    <w:tbl>
      <w:tblPr>
        <w:tblW w:w="7080" w:type="dxa"/>
        <w:jc w:val="left"/>
        <w:tblInd w:w="0" w:type="dxa"/>
        <w:tblLayout w:type="fixed"/>
        <w:tblCellMar>
          <w:top w:w="28" w:type="dxa"/>
          <w:left w:w="28" w:type="dxa"/>
          <w:bottom w:w="28" w:type="dxa"/>
          <w:right w:w="28" w:type="dxa"/>
        </w:tblCellMar>
      </w:tblPr>
      <w:tblGrid>
        <w:gridCol w:w="683"/>
        <w:gridCol w:w="602"/>
        <w:gridCol w:w="605"/>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of the fair value measurement hierarchy during the three and six months ended June 30, 2024 and 2023.</w:t>
      </w:r>
    </w:p>
    <w:p>
      <w:pPr>
        <w:pStyle w:val="TextBody"/>
        <w:bidi w:val="0"/>
        <w:spacing w:lineRule="auto" w:line="288" w:before="240" w:after="24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estimated fair value of our convertible senior notes, with aggregate principal totaling $230.0 million, was $225.4 million and $218.7 million, respectively. We estimate the fair value based on quoted market prices in an inactive market on the last trading day of the reporting period (Level 2). These convertible senior notes are recorded at face value less unamortized debt discount and transaction costs on our condensed consolidated balance sheets. Refer to Note 10—Convertible Senior Notes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50545"/>
                <wp:effectExtent l="0" t="0" r="0" b="0"/>
                <wp:wrapNone/>
                <wp:docPr id="28" name="Frame2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Nonrecurring fair value measurements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impairment charges of $2.2 million and $2.7 million related to the impairment of ROU assets and leasehold improvements associated with office space designated for subleasing during the six months ended June 30, 2024 and 2023. These impairment charges were derived from the difference between the carrying value and the fair value of the relevant asset groups. The fair value of these asset groups was estimated using a discounted cash flow analysis of the office space designated for subleasing and included certain unobservable (Level 3) inputs, including the anticipated future sublease terms and rates.</w:t>
      </w:r>
    </w:p>
    <w:p>
      <w:pPr>
        <w:pStyle w:val="TextBody"/>
        <w:bidi w:val="0"/>
        <w:spacing w:lineRule="auto" w:line="288" w:before="240" w:after="24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Level 3 fair value measurements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Carevive acquisition consideration included an initial estimate for contingent consideration based on certain revenue-based earn-out performance targets for Carevive during an earn-out period that ends on June 30, 2025. The Carevive contingent consideration is capped at $10 million and will be paid in cash to the extent achieved. We value Carevive’s expected contingent consideration and the corresponding liability using the Black-Scholes valuation method based on estimates of potential pay-out scenarios. </w:t>
      </w:r>
    </w:p>
    <w:p>
      <w:pPr>
        <w:pStyle w:val="TextBody"/>
        <w:bidi w:val="0"/>
        <w:spacing w:lineRule="auto" w:line="288" w:before="24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contingent consideration liability is categorized as Level 3 fair value measurements and is remeasured as of each reporting period. The aggregate intrinsic value of the revenue-based earn-out contingent consideration liability is zero based on a point estimate of our internal forecasting of the ultimate earn-out that will be earned as of June 30, 2024. The recurring Level 3 fair value measurements of the contingent consideration liability include the other following significant inputs:</w:t>
      </w:r>
    </w:p>
    <w:tbl>
      <w:tblPr>
        <w:tblW w:w="10205" w:type="dxa"/>
        <w:jc w:val="left"/>
        <w:tblInd w:w="0" w:type="dxa"/>
        <w:tblLayout w:type="fixed"/>
        <w:tblCellMar>
          <w:top w:w="28" w:type="dxa"/>
          <w:left w:w="28" w:type="dxa"/>
          <w:bottom w:w="28" w:type="dxa"/>
          <w:right w:w="28" w:type="dxa"/>
        </w:tblCellMar>
      </w:tblPr>
      <w:tblGrid>
        <w:gridCol w:w="602"/>
        <w:gridCol w:w="529"/>
        <w:gridCol w:w="530"/>
        <w:gridCol w:w="109"/>
        <w:gridCol w:w="109"/>
        <w:gridCol w:w="109"/>
        <w:gridCol w:w="474"/>
        <w:gridCol w:w="474"/>
        <w:gridCol w:w="358"/>
        <w:gridCol w:w="109"/>
        <w:gridCol w:w="109"/>
        <w:gridCol w:w="109"/>
        <w:gridCol w:w="211"/>
        <w:gridCol w:w="406"/>
        <w:gridCol w:w="706"/>
        <w:gridCol w:w="109"/>
        <w:gridCol w:w="109"/>
        <w:gridCol w:w="109"/>
        <w:gridCol w:w="347"/>
        <w:gridCol w:w="347"/>
        <w:gridCol w:w="349"/>
        <w:gridCol w:w="109"/>
        <w:gridCol w:w="109"/>
        <w:gridCol w:w="109"/>
        <w:gridCol w:w="310"/>
        <w:gridCol w:w="310"/>
        <w:gridCol w:w="311"/>
        <w:gridCol w:w="109"/>
        <w:gridCol w:w="109"/>
        <w:gridCol w:w="109"/>
        <w:gridCol w:w="323"/>
        <w:gridCol w:w="323"/>
        <w:gridCol w:w="324"/>
        <w:gridCol w:w="109"/>
        <w:gridCol w:w="109"/>
        <w:gridCol w:w="109"/>
        <w:gridCol w:w="293"/>
        <w:gridCol w:w="293"/>
        <w:gridCol w:w="423"/>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Valuation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Market Price of Revenue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Revenue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Risk-free interest rate</w:t>
            </w:r>
          </w:p>
        </w:tc>
      </w:tr>
      <w:tr>
        <w:trPr/>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4"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Revenue-based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Black-Scholes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the changes in the estimated fair value of the contingent consideration liabilities, which are measured at fair value on a recurring basis using significant unobservable inputs (Level 3) (in thousands):</w:t>
      </w:r>
    </w:p>
    <w:tbl>
      <w:tblPr>
        <w:tblW w:w="10205" w:type="dxa"/>
        <w:jc w:val="left"/>
        <w:tblInd w:w="0" w:type="dxa"/>
        <w:tblLayout w:type="fixed"/>
        <w:tblCellMar>
          <w:top w:w="28" w:type="dxa"/>
          <w:left w:w="28" w:type="dxa"/>
          <w:bottom w:w="28" w:type="dxa"/>
          <w:right w:w="28" w:type="dxa"/>
        </w:tblCellMar>
      </w:tblPr>
      <w:tblGrid>
        <w:gridCol w:w="2036"/>
        <w:gridCol w:w="1743"/>
        <w:gridCol w:w="1756"/>
        <w:gridCol w:w="1184"/>
        <w:gridCol w:w="2618"/>
        <w:gridCol w:w="868"/>
      </w:tblGrid>
      <w:tr>
        <w:trPr/>
        <w:tc>
          <w:tcPr>
            <w:tcW w:w="2036"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 Significant Unobservable Inputs (Level 3)</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2024</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contingent consideration liability from Carevive acquisition (see Note 2)</w:t>
            </w:r>
          </w:p>
        </w:tc>
        <w:tc>
          <w:tcPr>
            <w:tcW w:w="3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liability</w:t>
            </w:r>
          </w:p>
        </w:tc>
        <w:tc>
          <w:tcPr>
            <w:tcW w:w="3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467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1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50545"/>
                <wp:effectExtent l="0" t="0" r="0" b="0"/>
                <wp:wrapNone/>
                <wp:docPr id="29" name="Frame2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8. Accrued Liabilities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accrued liabilities consisted of the following (in thousands):</w:t>
      </w:r>
    </w:p>
    <w:tbl>
      <w:tblPr>
        <w:tblW w:w="6227" w:type="dxa"/>
        <w:jc w:val="left"/>
        <w:tblInd w:w="0" w:type="dxa"/>
        <w:tblLayout w:type="fixed"/>
        <w:tblCellMar>
          <w:top w:w="28" w:type="dxa"/>
          <w:left w:w="28" w:type="dxa"/>
          <w:bottom w:w="28" w:type="dxa"/>
          <w:right w:w="28" w:type="dxa"/>
        </w:tblCellMar>
      </w:tblPr>
      <w:tblGrid>
        <w:gridCol w:w="1348"/>
        <w:gridCol w:w="1183"/>
        <w:gridCol w:w="1189"/>
        <w:gridCol w:w="211"/>
        <w:gridCol w:w="721"/>
        <w:gridCol w:w="109"/>
        <w:gridCol w:w="109"/>
        <w:gridCol w:w="109"/>
        <w:gridCol w:w="109"/>
        <w:gridCol w:w="221"/>
        <w:gridCol w:w="757"/>
        <w:gridCol w:w="161"/>
      </w:tblGrid>
      <w:tr>
        <w:trPr/>
        <w:tc>
          <w:tcPr>
            <w:tcW w:w="134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br/>
              <w:t>December 31,</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liabilities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(1)Restructuring liabilities include severance and other team member costs from workforce reductions. For additional details, refer to Note 19 in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lease office space under operating leases that expire between 2024 and 2031. The terms of the leases provide for rental payments on a graduated scale, options to renew the leases (one to five years), landlord incentives or allowances, and periods of free rent. We subleased portions of our corporate headquarters to various sublessees with subleases commencing at various dates between 2021 and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lease expense (income) are summarized as follows (in thousands):</w:t>
      </w:r>
    </w:p>
    <w:tbl>
      <w:tblPr>
        <w:tblW w:w="6964" w:type="dxa"/>
        <w:jc w:val="left"/>
        <w:tblInd w:w="0" w:type="dxa"/>
        <w:tblLayout w:type="fixed"/>
        <w:tblCellMar>
          <w:top w:w="28" w:type="dxa"/>
          <w:left w:w="28" w:type="dxa"/>
          <w:bottom w:w="28" w:type="dxa"/>
          <w:right w:w="28" w:type="dxa"/>
        </w:tblCellMar>
      </w:tblPr>
      <w:tblGrid>
        <w:gridCol w:w="771"/>
        <w:gridCol w:w="677"/>
        <w:gridCol w:w="681"/>
        <w:gridCol w:w="251"/>
        <w:gridCol w:w="556"/>
        <w:gridCol w:w="130"/>
        <w:gridCol w:w="130"/>
        <w:gridCol w:w="130"/>
        <w:gridCol w:w="130"/>
        <w:gridCol w:w="251"/>
        <w:gridCol w:w="556"/>
        <w:gridCol w:w="130"/>
        <w:gridCol w:w="109"/>
        <w:gridCol w:w="109"/>
        <w:gridCol w:w="109"/>
        <w:gridCol w:w="211"/>
        <w:gridCol w:w="616"/>
        <w:gridCol w:w="109"/>
        <w:gridCol w:w="109"/>
        <w:gridCol w:w="109"/>
        <w:gridCol w:w="109"/>
        <w:gridCol w:w="211"/>
        <w:gridCol w:w="61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incur immaterial variable costs related to our leased office space, such as maintenance and utilities based on actual usage, which are not included in the measurement of right-of-use assets and lease liabilities, but are expensed as incurred.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and 2023, we identified asset impairment indicators for multiple of our corporate office spaces designated for subleasing. We performed a recoverability test of the relevant asset group, comprised of operating lease ROU and other related assets, and determined that the carrying value of this asset group was not fully recoverable. As a result, we measured and recognized total impairment charges of $2.2 million and $2.7 million during the six months ended June 30, 2024 and 2023, respectively, representing the amount by which the carrying value exceeded the estimated fair value of this asset group. The impairment charges were recorded as part of general and administrative expense in our condensed consolidated statements of operations. During the six months ended June 30, 2024, $1.5 million of the impairment charge was allocated to ROU assets and the remaining $0.7 million was allocated to leasehold improvements, while during the six months ended June 30, 2023, $2.0 million of the impairment charge was allocated to ROU assets and the remaining $0.7 million was allocated to leasehold improvements.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2024, we subleased parts of the first and fourth floors of our corporate headquarters. We classified these subleases as operating leases. The initial subleases have lease terms of 60 to 90 months. We performed a recoverability test of the relevant asset groups, comprised of operating lease right-of-use and other related assets, and determined that the carrying value of these asset groups were fully recoverable.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50545"/>
                <wp:effectExtent l="0" t="0" r="0" b="0"/>
                <wp:wrapNone/>
                <wp:docPr id="30" name="Frame3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10. Convertible Senior Notes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14, 2020, we issued $230.0 million in aggregate principal amount of 2.50% Convertible Senior Notes due 2025 (Notes), in a private placement to qualified institutional buyers exempt from registration under the Securities Act (Note Offering). The net proceeds from the issuance of the Notes were approximately $222.5 million, after deducting the initial purchasers’ discounts and offering expenses payable by us.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are governed by an indenture (the Indenture) between us, as the issuer, and U.S. Bank National Association, as trustee. The Notes are our senior, unsecured obligations and accrue interest payable semiannually in arrears on April 15 and October 15 of each year, beginning on October 15, 2020, at a rate of 2.50% per year. The Notes will mature on April 15, 2025, unless earlier converted, redeemed, or repurchased. The Indenture does not contain any financial or operating covenants or restrictions on the payments of dividends, the incurrence of indebtedness, or the issuance or repurchase of securities by us or any of our subsidiaries.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April 20, 2023, we may redeem, for cash, all or a portion of the Notes, at our option, if the last reported sale price of our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at a redemption price equal to 100% of the principal amount of the Notes to be redeemed, plus accrued and unpaid interest to, but excluding, the redemption date. No sinking fund is provided for the Notes.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Notes have an initial conversion rate of 32.6797 shares of our common stock per $1,000 principal amount of Notes (which is equivalent to an initial conversion price of approximately $30.60 per share of our common stock). Following certain corporate events that occur prior to the maturity date, we will increase the conversion rate for a holder who elects to convert its Notes in connection with such corporate event. Additionally, upon the occurrence of a corporate event that constitutes a “fundamental change” per the Indenture, holders of the Notes may require the Company to repurchase for cash all or a portion of their Notes at a purchase price equal to 100% of the principal amount of the Notes plus accrued and unpaid interest.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Notes may convert all or any portion of their Notes at any time prior to the close of business on October 14, 2024, in integral multiples of $1,000 principal amount, only under the following circumstances: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During any calendar quarter commencing after the calendar quarter ended on June 30, 2020 (and only during such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our common stock and the conversion rate on each such trading day;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call such notes for redemption, at any time prior to the close of business on the scheduled trading day immediately preceding the redemption date; or</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Upon the occurrence of specified corporate events described in the Indenture.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October 15, 2024, until the close of business on the second scheduled trading day immediately preceding the maturity date, holders may convert all or any portion of their Notes at the conversion rate at any time irrespective of the foregoing circumstances. Upon conversion, holders will receive cash, shares of our common stock or a combination of cash and shares of common stock, at our election.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50545"/>
                <wp:effectExtent l="0" t="0" r="0" b="0"/>
                <wp:wrapNone/>
                <wp:docPr id="31" name="Frame3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conditions allowing holders of the Notes to convert were not met. The Notes are therefore not currently convertible. However, due to the April 2025 maturity date now being within twelve months, the Notes are classified as a current liability on our condensed consolidated balance sheet.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expense recognized related to the Notes was as follows (in thousands):</w:t>
      </w:r>
    </w:p>
    <w:tbl>
      <w:tblPr>
        <w:tblW w:w="8927" w:type="dxa"/>
        <w:jc w:val="left"/>
        <w:tblInd w:w="0" w:type="dxa"/>
        <w:tblLayout w:type="fixed"/>
        <w:tblCellMar>
          <w:top w:w="28" w:type="dxa"/>
          <w:left w:w="28" w:type="dxa"/>
          <w:bottom w:w="28" w:type="dxa"/>
          <w:right w:w="28" w:type="dxa"/>
        </w:tblCellMar>
      </w:tblPr>
      <w:tblGrid>
        <w:gridCol w:w="1481"/>
        <w:gridCol w:w="1302"/>
        <w:gridCol w:w="1311"/>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carrying value of the liability component of the Notes was as follows (in thousands):</w:t>
      </w:r>
    </w:p>
    <w:tbl>
      <w:tblPr>
        <w:tblW w:w="4010" w:type="dxa"/>
        <w:jc w:val="center"/>
        <w:tblInd w:w="0" w:type="dxa"/>
        <w:tblLayout w:type="fixed"/>
        <w:tblCellMar>
          <w:top w:w="28" w:type="dxa"/>
          <w:left w:w="28" w:type="dxa"/>
          <w:bottom w:w="28" w:type="dxa"/>
          <w:right w:w="28" w:type="dxa"/>
        </w:tblCellMar>
      </w:tblPr>
      <w:tblGrid>
        <w:gridCol w:w="1021"/>
        <w:gridCol w:w="896"/>
        <w:gridCol w:w="902"/>
        <w:gridCol w:w="211"/>
        <w:gridCol w:w="82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closing price of our common stock of $6.39 per share on the last trading day of the period ended June 30, 2024, the if-converted value of the Notes was less than their respective principal amounts.</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Capped calls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8, 2020, concurrently with the pricing of the Notes, we entered into privately negotiated capped call transactions (Base Capped Calls) with certain option counterparties. In addition, in connection with the initial purchasers’ exercise in full of their option to purchase additional Notes, on April 9, 2020, we entered into additional capped call transactions (together with the Base Capped Calls, the Capped Calls) with each of the option counterparties. We used approximately $21.7 million of the net proceeds from the Note Offering to pay the cost of the Capped Calls and allocated issuance costs. The Capped Calls have initial cap prices of $42.00 per share, subject to certain adjustments. The Capped Calls are expected generally to reduce the potential dilution to our common stock upon any conversion of Notes and/or offset any cash payments we are required to make in excess of the principal amount of converted Notes, as the case may be, with such reduction and/or offset subject to the cap price.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Capped Calls are separate transactions that we entered into with the option counterparties, and are not part of the terms of the Notes. As the Capped Call transactions are considered indexed to our own stock and are considered equity classified, they were recorded in stockholders’ equity and are not accounted for as derivatives. The cost incurred in connection with the Capped Calls was recorded as a reduction to additional paid-in capital on our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11. Stockholders’ Equity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the authority, without further action by our stockholders, to issue up to 25,000,000 shares of preferred stock in one or more series and to fix the rights, preferences, and privileges thereof, including voting rights. As of June 30, 2024 and December 31, 2023, no shares of this preferred stock were issued and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50545"/>
                <wp:effectExtent l="0" t="0" r="0" b="0"/>
                <wp:wrapNone/>
                <wp:docPr id="32" name="Frame3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500,000,000 shares of common stock, par value $0.001 per share, authorized, of which 60,075,178 and 58,530,880 shares were legally issued and outstanding as of June 30, 2024 and December 31, 2023, respectively. The shares legally issued and outstanding as of June 30, 2024 and December 31, 2023 included zero shares and 235,389 shares, respectively, issued pursuant acquisition agreements, which are subject to a restriction agreement and were unvested, and as such, for accounting purposes they were not considered to be outstanding common stock shares. Each share of common stock has the right to one vote on all matters submitted to a vote of stockholders. The holders of common stock are also entitled to receive dividends whenever funds are legally available and when declared by the board of directors, subject to prior rights of holders of all classes of stock outstanding having priority rights as to dividends. No dividends have been declared or paid on our common stock through June 30, 2024.</w:t>
      </w:r>
    </w:p>
    <w:p>
      <w:pPr>
        <w:pStyle w:val="TextBody"/>
        <w:bidi w:val="0"/>
        <w:spacing w:before="0" w:after="0"/>
        <w:ind w:left="0" w:right="0" w:firstLine="360"/>
        <w:jc w:val="both"/>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 plan</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2022, our board of directors authorized a share repurchase program to repurchase up to $40.0 million of our outstanding shares of common stock (Share Repurchase Plan). There were no share repurchases during the first or second quarter of 2024. During the first quarter of 2023, we repurchased and retired 145,027 shares of our common stock for $1.8 million at an average purchase price of $12.45 per share. This is in addition to the 709,139 shares of common stock we repurchased and retired for $8.4 million at an average purchase price of $11.81 per share during the third quarter of 2022. The total remaining authorization for future shares of common stock repurchases under our Share Repurchase Plan is $29.8 million as of June 30, 2024.</w:t>
      </w:r>
    </w:p>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12. Net Loss Per Share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net loss per share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835"/>
        <w:gridCol w:w="1288"/>
        <w:gridCol w:w="1294"/>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6"/>
      </w:tblGrid>
      <w:tr>
        <w:trPr/>
        <w:tc>
          <w:tcPr>
            <w:tcW w:w="183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 per share, basic and diluted</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used in calculating net loss per share,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55,976,870 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58,947,653 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55,732,211 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and 2023, we incurred net losses and, therefore, the effect of our stock options, restricted stock units, performance-based restricted stock units, convertible senior notes, employee stock purchase plan, and restricted shares were not included in the calculation of diluted net loss per share as the effect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50545"/>
                <wp:effectExtent l="0" t="0" r="0" b="0"/>
                <wp:wrapNone/>
                <wp:docPr id="33" name="Frame3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diluted net loss per share does not include the effect of the following potentially outstanding shares of common stock. The effects of these potentially outstanding shares were not included in the calculation of diluted net loss per share when the effect would have been anti-dilutive:</w:t>
      </w:r>
    </w:p>
    <w:tbl>
      <w:tblPr>
        <w:tblW w:w="6356" w:type="dxa"/>
        <w:jc w:val="left"/>
        <w:tblInd w:w="0" w:type="dxa"/>
        <w:tblLayout w:type="fixed"/>
        <w:tblCellMar>
          <w:top w:w="28" w:type="dxa"/>
          <w:left w:w="28" w:type="dxa"/>
          <w:bottom w:w="28" w:type="dxa"/>
          <w:right w:w="28" w:type="dxa"/>
        </w:tblCellMar>
      </w:tblPr>
      <w:tblGrid>
        <w:gridCol w:w="1248"/>
        <w:gridCol w:w="1097"/>
        <w:gridCol w:w="1105"/>
        <w:gridCol w:w="540"/>
        <w:gridCol w:w="541"/>
        <w:gridCol w:w="156"/>
        <w:gridCol w:w="125"/>
        <w:gridCol w:w="125"/>
        <w:gridCol w:w="125"/>
        <w:gridCol w:w="540"/>
        <w:gridCol w:w="541"/>
        <w:gridCol w:w="213"/>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1,081,901 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1,416,040 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4,470,398 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215,363 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related to convertible senior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7,516,331 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7,516,331 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413,791 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potentially dilutive securities</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13,213,101 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14,031,923 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offering of our convertible senior notes, we entered into Capped Calls with initial caps on the conversion price of $42.00 per share, which are excluded from the calculation of diluted earnings per share, as they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13. Stock-Based Compensation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2011, our board of directors adopted the Health Catalyst, Inc. 2011 Stock Incentive Plan (2011 Plan), which provided for the direct award, sale of shares, and granting of RSUs and options for our common stock to our directors, team members, or consultants. In connection with our initial public offering (IPO), our board of directors adopted the 2019 Stock Option and Incentive Plan (2019 Plan). The 2019 Plan provides flexibility to our compensation committee to use various equity-based incentive awards as compensation tools to motivate our workforce, including the grant of incentive and non-statutory stock options, restricted and unrestricted stock, RSUs, and stock appreciation rights to our directors, team members, or consultants.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initially reserved 2,756,607 shares of our common stock (2,500,000 under the 2019 Plan and 256,607 shares under the 2011 Plan) that were available immediately prior to the IPO registration date. The 2019 Plan provides that the number of shares reserved available for issuance under the plan will automatically increase each January 1, beginning on January 1, 2020, by 5% of the outstanding number of shares of our common stock on the immediately preceding December 31, or such lesser number of shares as determined by our compensation committee. As of January 1, 2024, there were an additional 2,926,544 shares reserved for issuance under the 2019 Plan. As of June 30, 2024 and December 31, 2023, there were 23,644,211 and 20,717,667 shares authorized for grant, respectively, and 4,865,662 and 3,831,444 shares available for grant under the 2019 Plan, respectively. </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two tables summarize our total stock-based compensation expense by award type and where the stock-based compensation expense was recorded in our condensed consolidated statements of operations (in thousands):</w:t>
      </w:r>
    </w:p>
    <w:tbl>
      <w:tblPr>
        <w:tblW w:w="8459" w:type="dxa"/>
        <w:jc w:val="left"/>
        <w:tblInd w:w="0" w:type="dxa"/>
        <w:tblLayout w:type="fixed"/>
        <w:tblCellMar>
          <w:top w:w="28" w:type="dxa"/>
          <w:left w:w="28" w:type="dxa"/>
          <w:bottom w:w="28" w:type="dxa"/>
          <w:right w:w="28" w:type="dxa"/>
        </w:tblCellMar>
      </w:tblPr>
      <w:tblGrid>
        <w:gridCol w:w="1221"/>
        <w:gridCol w:w="1073"/>
        <w:gridCol w:w="1080"/>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50545"/>
                <wp:effectExtent l="0" t="0" r="0" b="0"/>
                <wp:wrapNone/>
                <wp:docPr id="34" name="Frame3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7829" w:type="dxa"/>
        <w:jc w:val="center"/>
        <w:tblInd w:w="0" w:type="dxa"/>
        <w:tblLayout w:type="fixed"/>
        <w:tblCellMar>
          <w:top w:w="28" w:type="dxa"/>
          <w:left w:w="28" w:type="dxa"/>
          <w:bottom w:w="28" w:type="dxa"/>
          <w:right w:w="28" w:type="dxa"/>
        </w:tblCellMar>
      </w:tblPr>
      <w:tblGrid>
        <w:gridCol w:w="992"/>
        <w:gridCol w:w="874"/>
        <w:gridCol w:w="878"/>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stock options granted during the six months ended June 30, 2024 or 2023. A summary of the share option activity under the 2019 Plan for the six months ended June 30, 2024, is as follows:</w:t>
      </w:r>
    </w:p>
    <w:tbl>
      <w:tblPr>
        <w:tblW w:w="10205" w:type="dxa"/>
        <w:jc w:val="left"/>
        <w:tblInd w:w="0" w:type="dxa"/>
        <w:tblLayout w:type="fixed"/>
        <w:tblCellMar>
          <w:top w:w="28" w:type="dxa"/>
          <w:left w:w="28" w:type="dxa"/>
          <w:bottom w:w="28" w:type="dxa"/>
          <w:right w:w="28" w:type="dxa"/>
        </w:tblCellMar>
      </w:tblPr>
      <w:tblGrid>
        <w:gridCol w:w="841"/>
        <w:gridCol w:w="738"/>
        <w:gridCol w:w="742"/>
        <w:gridCol w:w="666"/>
        <w:gridCol w:w="465"/>
        <w:gridCol w:w="466"/>
        <w:gridCol w:w="109"/>
        <w:gridCol w:w="109"/>
        <w:gridCol w:w="109"/>
        <w:gridCol w:w="360"/>
        <w:gridCol w:w="1051"/>
        <w:gridCol w:w="185"/>
        <w:gridCol w:w="109"/>
        <w:gridCol w:w="109"/>
        <w:gridCol w:w="109"/>
        <w:gridCol w:w="774"/>
        <w:gridCol w:w="774"/>
        <w:gridCol w:w="776"/>
        <w:gridCol w:w="109"/>
        <w:gridCol w:w="109"/>
        <w:gridCol w:w="109"/>
        <w:gridCol w:w="376"/>
        <w:gridCol w:w="726"/>
        <w:gridCol w:w="284"/>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Time-Based Option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2024</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1,396,452 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(20,764)</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cancelled/forfeited</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(293,787)</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2024</w:t>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1,081,901 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June 30, 2024</w:t>
            </w:r>
          </w:p>
        </w:tc>
        <w:tc>
          <w:tcPr>
            <w:tcW w:w="11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1,081,901 </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as of June 30, 2024</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1,081,901 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stock options exercised was less than $0.1 million for the six months ended June 30, 2024. All of our outstanding stock options are fully vested and there is no longer any related unrecognized compensation expense.</w:t>
      </w:r>
    </w:p>
    <w:p>
      <w:pPr>
        <w:pStyle w:val="TextBody"/>
        <w:bidi w:val="0"/>
        <w:spacing w:lineRule="auto" w:line="288" w:before="0" w:after="24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service-based condition for restricted stock units (RSUs) is generally satisfied over four years with a cliff vesting period of one year and quarterly vesting thereafter. The following table sets forth the outstanding RSUs and related activity for the six months ended June 30, 2024:</w:t>
      </w:r>
    </w:p>
    <w:tbl>
      <w:tblPr>
        <w:tblW w:w="9025" w:type="dxa"/>
        <w:jc w:val="left"/>
        <w:tblInd w:w="0" w:type="dxa"/>
        <w:tblLayout w:type="fixed"/>
        <w:tblCellMar>
          <w:top w:w="28" w:type="dxa"/>
          <w:left w:w="28" w:type="dxa"/>
          <w:bottom w:w="28" w:type="dxa"/>
          <w:right w:w="28" w:type="dxa"/>
        </w:tblCellMar>
      </w:tblPr>
      <w:tblGrid>
        <w:gridCol w:w="1369"/>
        <w:gridCol w:w="1203"/>
        <w:gridCol w:w="1207"/>
        <w:gridCol w:w="569"/>
        <w:gridCol w:w="569"/>
        <w:gridCol w:w="571"/>
        <w:gridCol w:w="109"/>
        <w:gridCol w:w="109"/>
        <w:gridCol w:w="109"/>
        <w:gridCol w:w="690"/>
        <w:gridCol w:w="2016"/>
        <w:gridCol w:w="504"/>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at January 1, 2024</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3,111,584 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2,072,313 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(829,093)</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(265,612)</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at June 30, 2024</w:t>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4,089,192 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and 2023, we granted RSUs with a weighted-average grant date fair value of $8.56 and $11.84, respectively, which represents the weighted-average closing price of our common stock on the grant date. The total grant date fair value of RSUs vested during the six months ended June 30, 2024 and 2023 was $18.5 million and $23.8 million, respectively. As of June 30, 2024, we had $48.5 million of unrecognized stock-based compensation expense related to outstanding RSUs expected to be recognized over a weighted-average period of 2.2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50545"/>
                <wp:effectExtent l="0" t="0" r="0" b="0"/>
                <wp:wrapNone/>
                <wp:docPr id="35" name="Frame3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Performance-based restricted stock units (PRSUs)</w:t>
      </w:r>
    </w:p>
    <w:p>
      <w:pPr>
        <w:pStyle w:val="TextBody"/>
        <w:bidi w:val="0"/>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2024 Executive PRSUs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certain named executive officers and other leadership team members were granted executive PRSUs with a three-year measurement period that include service conditions, performance conditions, and market conditions. The vesting of these PRSUs will be determined based on market-based targets for total shareholder return (TSR) achievement (weighted 25%) and financial performance targets for revenue growth rate achievement (weighted 25%) and Adjusted EBITDA margin achievement (weighted 50%). These PRSUs may vest in an amount up to the amount granted, subject to satisfaction of the pre-established targets. The number of PRSUs that will vest for the 2024, 2025, and 2026 vesting periods will be calculated as follows: (i) the market/performance achievement for the applicable vesting period, multiplied by (ii) approximately 33.33% of the PRSUs for each of the 2024, 2025, and 2026 vesting periods, each rounded to the nearest whole share.</w:t>
      </w:r>
    </w:p>
    <w:p>
      <w:pPr>
        <w:pStyle w:val="TextBody"/>
        <w:bidi w:val="0"/>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Executive PRSUs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certain named executive officers and other leadership team members were granted executive PRSUs with a three-year measurement period that include service conditions, performance conditions, and market conditions. The vesting of these PRSUs will be determined based on market-based targets for total shareholder return (TSR) achievement and financial performance targets for revenue growth rate achievement and Adjusted EBITDA margin achievement. Each of the three market and performance targets are weighted equally and these PRSUs may vest in an amount up to the amount granted, subject to satisfaction of the pre-established targets. The number of PRSUs that will vest in 2023, 2024, and 2025 will be calculated as follows: (i) the market/performance achievement for the applicable vesting period, multiplied by (ii) approximately 33.33% of the PRSUs for each of the 2023, 2024, and 2025 vesting periods, each rounded to the nearest whole share.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market-based tranches included in the executive PRSUs were estimated on the date of grants using the Monte Carlo simulation valuation model with the following assumptions for the six months ended June 30, 2024 and 2023:</w:t>
      </w:r>
    </w:p>
    <w:tbl>
      <w:tblPr>
        <w:tblW w:w="5493" w:type="dxa"/>
        <w:jc w:val="left"/>
        <w:tblInd w:w="0" w:type="dxa"/>
        <w:tblLayout w:type="fixed"/>
        <w:tblCellMar>
          <w:top w:w="28" w:type="dxa"/>
          <w:left w:w="28" w:type="dxa"/>
          <w:bottom w:w="28" w:type="dxa"/>
          <w:right w:w="28" w:type="dxa"/>
        </w:tblCellMar>
      </w:tblPr>
      <w:tblGrid>
        <w:gridCol w:w="756"/>
        <w:gridCol w:w="663"/>
        <w:gridCol w:w="666"/>
        <w:gridCol w:w="469"/>
        <w:gridCol w:w="469"/>
        <w:gridCol w:w="471"/>
        <w:gridCol w:w="109"/>
        <w:gridCol w:w="109"/>
        <w:gridCol w:w="109"/>
        <w:gridCol w:w="469"/>
        <w:gridCol w:w="469"/>
        <w:gridCol w:w="471"/>
        <w:gridCol w:w="109"/>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c>
          <w:tcPr>
            <w:tcW w:w="263" w:type="dxa"/>
            <w:gridSpan w:val="2"/>
            <w:tcBorders/>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4.33% - 4.91%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4.38% - 5.01%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outstanding PRSUs, including executive PRSUs with market-based tranches, and related activity for the six months ended June 30, 2024:</w:t>
      </w:r>
    </w:p>
    <w:tbl>
      <w:tblPr>
        <w:tblW w:w="10205" w:type="dxa"/>
        <w:jc w:val="left"/>
        <w:tblInd w:w="0" w:type="dxa"/>
        <w:tblLayout w:type="fixed"/>
        <w:tblCellMar>
          <w:top w:w="28" w:type="dxa"/>
          <w:left w:w="28" w:type="dxa"/>
          <w:bottom w:w="28" w:type="dxa"/>
          <w:right w:w="28" w:type="dxa"/>
        </w:tblCellMar>
      </w:tblPr>
      <w:tblGrid>
        <w:gridCol w:w="1328"/>
        <w:gridCol w:w="1167"/>
        <w:gridCol w:w="1171"/>
        <w:gridCol w:w="1030"/>
        <w:gridCol w:w="1030"/>
        <w:gridCol w:w="1032"/>
        <w:gridCol w:w="109"/>
        <w:gridCol w:w="109"/>
        <w:gridCol w:w="109"/>
        <w:gridCol w:w="669"/>
        <w:gridCol w:w="1957"/>
        <w:gridCol w:w="494"/>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at January 1, 2024</w:t>
            </w:r>
          </w:p>
        </w:tc>
        <w:tc>
          <w:tcPr>
            <w:tcW w:w="2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188,533 </w:t>
            </w:r>
          </w:p>
        </w:tc>
        <w:tc>
          <w:tcPr>
            <w:tcW w:w="10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 granted</w:t>
            </w:r>
          </w:p>
        </w:tc>
        <w:tc>
          <w:tcPr>
            <w:tcW w:w="2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445,000 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 vested</w:t>
            </w:r>
          </w:p>
        </w:tc>
        <w:tc>
          <w:tcPr>
            <w:tcW w:w="2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(42,369)</w:t>
            </w:r>
          </w:p>
        </w:tc>
        <w:tc>
          <w:tcPr>
            <w:tcW w:w="10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 forfeited</w:t>
            </w:r>
          </w:p>
        </w:tc>
        <w:tc>
          <w:tcPr>
            <w:tcW w:w="2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(65,487)</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at June 30, 2024</w:t>
            </w:r>
          </w:p>
        </w:tc>
        <w:tc>
          <w:tcPr>
            <w:tcW w:w="20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525,677 </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and 2023, we granted PRSUs with a weighted-average grant date fair value of $9.45 and $12.62, respectively, which represents the weighted-average closing price of our common stock on the grant date for performance-based tranches and the estimated grant date fair value using a Monte Carlo simulation valuation model for market-based tranches.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50545"/>
                <wp:effectExtent l="0" t="0" r="0" b="0"/>
                <wp:wrapNone/>
                <wp:docPr id="36" name="Frame3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grant date fair value of PRSUs vested during the six months ended June 30, 2024 and 2023 was $0.6 million and $4.8 million, respectively. As of June 30, 2024, we had $3.4 million of unrecognized stock-based compensation expense related to outstanding PRSUs expected to be recognized over a remaining weighted-average period of 1.7 years.</w:t>
      </w:r>
    </w:p>
    <w:p>
      <w:pPr>
        <w:pStyle w:val="TextBody"/>
        <w:bidi w:val="0"/>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IPO in July 2019, our board of directors adopted the ESPP and a total of 750,000 shares of common stock were initially reserved for issuance under the ESPP. The number of shares of common stock available for issuance under the ESPP will be increased on the first day of each calendar year beginning January 1, 2020 and each year thereafter until the ESPP terminates. The number of shares of common stock reserved and available for issuance under the ESPP shall be cumulatively increased by the least of (i) 750,000 shares, (ii) one percent of the number of shares of common stock issued and outstanding on the immediately preceding December 31, and (iii) such lesser number of shares of common stock as determined by the ESPP Administrator. As of January 1, 2024, the number of shares of common stock available for issuance under the ESPP increased by 585,308 shares.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ESPP generally provides for six-month offering periods. The offering periods generally start on the first trading day after June 30 and December 31 of each year. The ESPP permits participants to elect to purchase shares of common stock through fixed percentage contributions from eligible compensation during each offering period, not to exceed 15% of the eligible compensation a participant receives during an offering period or accrue at a rate which exceeds $25,000 of the fair value of the stock (determined on the option grant date(s)) for each calendar year. A participant may purchase the lowest of (i) a number of shares of common stock determined by dividing such participant’s accumulated payroll deductions on the exercise date by the option price, (ii) 2,500 shares, or (iii) such other lesser maximum number of shares as shall have been established by the ESPP Administrator in advance of the offering period. Amounts deducted and accumulated by the participant will be used to purchase shares of common stock at the end of each offering period.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of the shares will be 85% of the lower of the fair value of common stock on the first trading day of each offering period or on the purchase date. Participants may end their participation at any time during an offering period and will be paid their accumulated contributions that have not been used to purchase shares of common stock. Participation ends automatically upon termination of employment.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purchase right for the ESPP option component is estimated on the date of grant using the Black-Scholes model with the following assumptions for the three months ended June 30, 2024 and 2023:</w:t>
      </w:r>
    </w:p>
    <w:tbl>
      <w:tblPr>
        <w:tblW w:w="4374" w:type="dxa"/>
        <w:jc w:val="left"/>
        <w:tblInd w:w="0" w:type="dxa"/>
        <w:tblLayout w:type="fixed"/>
        <w:tblCellMar>
          <w:top w:w="28" w:type="dxa"/>
          <w:left w:w="28" w:type="dxa"/>
          <w:bottom w:w="28" w:type="dxa"/>
          <w:right w:w="28" w:type="dxa"/>
        </w:tblCellMar>
      </w:tblPr>
      <w:tblGrid>
        <w:gridCol w:w="821"/>
        <w:gridCol w:w="721"/>
        <w:gridCol w:w="723"/>
        <w:gridCol w:w="224"/>
        <w:gridCol w:w="224"/>
        <w:gridCol w:w="224"/>
        <w:gridCol w:w="224"/>
        <w:gridCol w:w="224"/>
        <w:gridCol w:w="224"/>
        <w:gridCol w:w="224"/>
        <w:gridCol w:w="224"/>
        <w:gridCol w:w="317"/>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99.4%</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months)</w:t>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4.77%</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we issued 263,482 shares under the ESPP, with a weighted-average purchase price of $5.43. Total cash proceeds from the purchase of shares under the ESPP during the six months ended June 30, 2024 were $1.4 million. As of June 30, 2024, 1,791,984 shares were available for future issuance under the ESPP.</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50545"/>
                <wp:effectExtent l="0" t="0" r="0" b="0"/>
                <wp:wrapNone/>
                <wp:docPr id="37" name="Frame3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24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Restricted shares issued in connection with business combinations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KPI Ninja acquisition that closed on February 24, 2022, 356,919 shares of our common stock were issued pursuant to the terms of the acquisition agreement and are considered a stock-based compensation arrangement subject to a restriction agreement. The vesting of those shares was subject to continuous service with 25% vesting upon each six-month anniversary of the acquisition close date, with the final vesting date as of February 24, 2024.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ARMUS acquisition that closed on April 29, 2022, 235,330 shares of our common stock were issued pursuant to the terms of the acquisition agreement and are considered a stock-based compensation arrangement subject to a restriction agreement. The vesting of those shares was subject to eighteen months of continuous service with cliff vesting upon the eighteen-month anniversary of the acquisition close date, or October 29, 2023.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ERS acquisition that closed on October 2, 2023, 175,901 shares of our common stock were issued pursuant to the terms of the acquisition agreement and are considered a stock-based compensation arrangement subject to a restriction agreement. The vesting of those shares was originally subject to eighteen months of continuous service with cliff vesting upon the eighteen-month anniversary of the acquisition close date. However, due to workforce reductions made as part of the 2023 Restructuring Plan, the ERS restricted shares were fully vested in February 2024, resulting in an acceleration of the related stock-based compensation expense.</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all of our previously issued shares of restricted stock are fully vested and there is no longer any related unrecognized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14. Income Taxes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provision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such period.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quarterly tax provision and the estimate of our annual effective tax rate are subject to variation due to several factors, including variability in our loss before income taxes, the mix of jurisdictions to which such income or loss relates, changes in how we conduct business, and tax law developments. For the six months ended June 30, 2024 and 2023, our estimated effective tax rate was (0.5)% and (0.2)%, respectively. The variations between our estimated effective tax rate and the U.S. statutory rate are primarily due to our full valuation allowance.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available evidence to evaluate the recovery of deferred tax assets, including historical levels of income, legislative developments, and risks associated with estimates of future taxable income. We have provided a full valuation allowance for our net deferred tax assets as of June 30, 2024 and December 31, 2023, due to the uncertainty surrounding the future realization of such assets and the cumulative losses we have generated.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tax benefits from uncertain tax positions when it is more likely than not, based on the technical merits, that the position will be sustained upon examination. We believe that we have provided adequate reserves for income tax uncertainties in all open tax years. We do not anticipate material changes in the total amount of our unrecognized tax benefits within 12 months of the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50545"/>
                <wp:effectExtent l="0" t="0" r="0" b="0"/>
                <wp:wrapNone/>
                <wp:docPr id="38" name="Frame3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legal proceedings from time to time that arise in the normal course of business. In the opinion of management, such routine claims and lawsuits are not significant, and we do not expect them to have a material adverse effect on our business, financial condition, results of operations, or liquidity, except as noted below. We were party to the proceedings set forth below.</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21, 2020, Pascal Metrics, Inc. (Pascal Metrics) filed a complaint against the Company in the Delaware Chancery Court (as amended, Complaint) alleging that the Company misappropriated alleged trade secrets of Pascal Metrics and seeking monetary damages. The Complaint focused upon Patient Safety Monitor. On June 15, 2023, we entered into a settlement and mutual release agreement (Settlement Agreement) with Pascal Metrics and agreed to pay $18.8 million without admission of any wrongdoing, resolving the litigation amongst the parties. The Settlement Agreement provided us with a broad intellectual property license of the alleged trade secrets that were the subject matter of the Complaint. The Complaint was dismissed with prejudice on June 20, 2023 and the settlement amount was paid on June 27, 2023. During the three and six months ended June 30, 2023 we recorded $9.6 million and $21.3 million, respectively, of litigation charges related to the Complaint that were recorded as part of general and administrative expense in our condensed consolidated statements of operations. There were no similar litigation charges recorded during the three and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16. Deferred Revenue and Performance Obligations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includes advance client payments and billings in excess of revenue recognized. For the three months ended June 30, 2024 and 2023, 44% and 50%, respectively, of the revenue recognized was included in deferred revenue at the beginning of the period.  For the six months ended June 30, 2024 and 2023, 28% and 30%, respectively, of the revenue recognized was included in deferred revenue at the beginning of the period.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technology and professional services contracts have a three- or five-year term, of which many are terminable after one year upon 90 days’ notice. For arrangements that do not allow the client to cancel within one year or less, we expect to recognize $310.4 million of revenue on unsatisfied performance obligations as of June 30, 2024. We expect to recognize approximately 65% of the remaining performance obligations over the next 24 months, with the balance recognized thereafter.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17. Related Parties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arrangements with a client, Carle Health, and a member of the client’s executive leadership team began serving on our board of directors effective July 1, 2023 and currently serves on our board of directors. We recognized revenue from this related party of $4.1 million and $8.2 million for the three and six months ended June 30, 2024. As of June 30, 2024 and December 31, 2023, we had receivables from this related party of $0.5 million and $1.9 million, respectively, and deferred revenue with this related party of $0.5 million and $0.1 million, respectively.</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revenue arrangements with clients that are also our investors. None of these clients hold a significant amount of ownership in our equity interests.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18. Segments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our business in two operating segments that also represent our reportable segments. Our business is organized based on our technology offerings and professional services. Accordingly, our segments are:</w:t>
      </w:r>
    </w:p>
    <w:p>
      <w:pPr>
        <w:pStyle w:val="TextBody"/>
        <w:bidi w:val="0"/>
        <w:spacing w:lineRule="auto" w:line="268" w:before="0" w:after="240"/>
        <w:ind w:left="0" w:right="0" w:hanging="360"/>
        <w:jc w:val="left"/>
        <w:rPr/>
      </w:pPr>
      <w:r>
        <w:rPr>
          <w:color w:val="000000"/>
        </w:rPr>
        <w:t>•</w:t>
      </w:r>
      <w:r>
        <w:rPr>
          <w:rFonts w:ascii="Times New Roman;sans-serif" w:hAnsi="Times New Roman;sans-serif"/>
          <w:b w:val="false"/>
          <w:color w:val="000000"/>
          <w:sz w:val="20"/>
        </w:rPr>
        <w:t>Technology – Our technology segment (Technology) includes our data platform, analytics applications, and support services and generates revenue primarily from contracts that are cloud-based subscription arrangements, time-based license arrangements, and maintenance and support fees; and</w:t>
      </w:r>
    </w:p>
    <w:p>
      <w:pPr>
        <w:pStyle w:val="TextBody"/>
        <w:bidi w:val="0"/>
        <w:spacing w:lineRule="auto" w:line="268" w:before="0" w:after="240"/>
        <w:ind w:left="0" w:right="0" w:hanging="360"/>
        <w:jc w:val="left"/>
        <w:rPr/>
      </w:pPr>
      <w:r>
        <w:rPr>
          <w:color w:val="000000"/>
        </w:rPr>
        <w:t>•</w:t>
      </w:r>
      <w:r>
        <w:rPr>
          <w:rFonts w:ascii="Times New Roman;sans-serif" w:hAnsi="Times New Roman;sans-serif"/>
          <w:b w:val="false"/>
          <w:color w:val="000000"/>
          <w:sz w:val="20"/>
        </w:rPr>
        <w:t>Professional Services – Our professional services segment (Professional Services) is generally the combination of analytics, implementation, strategic advisory, outsource, and improvement services to deliver expertise to our clients to more fully configure and utilize the benefits of our Technology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50545"/>
                <wp:effectExtent l="0" t="0" r="0" b="0"/>
                <wp:wrapNone/>
                <wp:docPr id="39" name="Frame3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and cost of revenue generally are directly attributed to our segments. All segment revenue is from our external clients. Asset and other balance sheet information at the segment level is not reported to our Chief Operating Decision Maker.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Segment revenue and Adjusted Gross Profit for the three and six months ended June 30, 2024 and 2023 were as follows (in thousands):</w:t>
      </w:r>
    </w:p>
    <w:tbl>
      <w:tblPr>
        <w:tblW w:w="7229" w:type="dxa"/>
        <w:jc w:val="left"/>
        <w:tblInd w:w="0" w:type="dxa"/>
        <w:tblLayout w:type="fixed"/>
        <w:tblCellMar>
          <w:top w:w="28" w:type="dxa"/>
          <w:left w:w="28" w:type="dxa"/>
          <w:bottom w:w="28" w:type="dxa"/>
          <w:right w:w="28" w:type="dxa"/>
        </w:tblCellMar>
      </w:tblPr>
      <w:tblGrid>
        <w:gridCol w:w="660"/>
        <w:gridCol w:w="583"/>
        <w:gridCol w:w="58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6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79" w:type="dxa"/>
        <w:jc w:val="left"/>
        <w:tblInd w:w="0" w:type="dxa"/>
        <w:tblLayout w:type="fixed"/>
        <w:tblCellMar>
          <w:top w:w="28" w:type="dxa"/>
          <w:left w:w="28" w:type="dxa"/>
          <w:bottom w:w="28" w:type="dxa"/>
          <w:right w:w="28" w:type="dxa"/>
        </w:tblCellMar>
      </w:tblPr>
      <w:tblGrid>
        <w:gridCol w:w="1445"/>
        <w:gridCol w:w="1268"/>
        <w:gridCol w:w="1276"/>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 Adjusted Gross Profit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Adjusted Gross Profit reconciling items: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Acquisition-related costs, net</w:t>
            </w:r>
            <w:r>
              <w:rPr>
                <w:rFonts w:ascii="Times New Roman;sans-serif" w:hAnsi="Times New Roman;sans-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reconciling items: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before income taxes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24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(1)Acquisition-related costs, net include deferred retention expenses attributable to the Carevive, ARMUS, and KPI Ninja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ans-serif" w:hAnsi="Times New Roman;sans-serif"/>
          <w:b/>
          <w:color w:val="000000"/>
          <w:sz w:val="20"/>
        </w:rPr>
        <w:t>19. Restructuring Costs</w:t>
      </w:r>
      <w:r>
        <w:rPr>
          <w:color w:val="000000"/>
        </w:rPr>
        <w:t xml:space="preserve"> </w:t>
      </w:r>
    </w:p>
    <w:p>
      <w:pPr>
        <w:pStyle w:val="TextBody"/>
        <w:bidi w:val="0"/>
        <w:spacing w:lineRule="auto" w:line="288" w:before="240" w:after="24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Restructuring Plan</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and year ended December 31, 2023, our board of directors authorized a reduction of our global workforce as part of a restructuring plan intended to optimize our cost structure and focus our investment of resources in key priority areas to align with strategic changes (2023 Restructuring Plan). As part of the 2023 Restructuring Plan, we significantly reduced headcount throughout both our professional services and technology segments, including among our senior leadership team. The restructuring costs primarily related to severance and other team member costs from workforce reductions and impairment of a discontinued capitalized internal-use software project.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50545"/>
                <wp:effectExtent l="0" t="0" r="0" b="0"/>
                <wp:wrapNone/>
                <wp:docPr id="40" name="Frame4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2023 Restructuring Plan costs by financial statement line item for the six months ended June 30, 2024 (in thousands), of which less than $0.3 million related to the three months ended June 30, 2024.</w:t>
      </w:r>
    </w:p>
    <w:tbl>
      <w:tblPr>
        <w:tblW w:w="10205" w:type="dxa"/>
        <w:jc w:val="left"/>
        <w:tblInd w:w="0" w:type="dxa"/>
        <w:tblLayout w:type="fixed"/>
        <w:tblCellMar>
          <w:top w:w="28" w:type="dxa"/>
          <w:left w:w="28" w:type="dxa"/>
          <w:bottom w:w="28" w:type="dxa"/>
          <w:right w:w="28" w:type="dxa"/>
        </w:tblCellMar>
      </w:tblPr>
      <w:tblGrid>
        <w:gridCol w:w="1464"/>
        <w:gridCol w:w="1257"/>
        <w:gridCol w:w="1260"/>
        <w:gridCol w:w="589"/>
        <w:gridCol w:w="1722"/>
        <w:gridCol w:w="304"/>
        <w:gridCol w:w="109"/>
        <w:gridCol w:w="109"/>
        <w:gridCol w:w="109"/>
        <w:gridCol w:w="410"/>
        <w:gridCol w:w="909"/>
        <w:gridCol w:w="215"/>
        <w:gridCol w:w="109"/>
        <w:gridCol w:w="109"/>
        <w:gridCol w:w="109"/>
        <w:gridCol w:w="109"/>
        <w:gridCol w:w="109"/>
        <w:gridCol w:w="211"/>
        <w:gridCol w:w="616"/>
        <w:gridCol w:w="109"/>
        <w:gridCol w:w="109"/>
        <w:gridCol w:w="158"/>
      </w:tblGrid>
      <w:tr>
        <w:trPr/>
        <w:tc>
          <w:tcPr>
            <w:tcW w:w="146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 and Other Team Member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Impairment Charges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3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2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Restructuring Plan cumulative charges incurred</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24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(1)Consists of impairment of a discontinued internal-use software project as part of the 2023 Restructuring Plan.</w:t>
      </w:r>
    </w:p>
    <w:p>
      <w:pPr>
        <w:pStyle w:val="TextBody"/>
        <w:bidi w:val="0"/>
        <w:spacing w:lineRule="auto" w:line="288" w:before="2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liabilities related to the 2023 Restructuring Plan are included as a component of accrued liabilities on our condensed consolidated balance sheets. The following table summarizes our current year restructuring-related activities, including costs incurred, cash payments, and the resulting liability balances (in thousands):</w:t>
      </w:r>
    </w:p>
    <w:tbl>
      <w:tblPr>
        <w:tblW w:w="5189" w:type="dxa"/>
        <w:jc w:val="left"/>
        <w:tblInd w:w="0" w:type="dxa"/>
        <w:tblLayout w:type="fixed"/>
        <w:tblCellMar>
          <w:top w:w="28" w:type="dxa"/>
          <w:left w:w="28" w:type="dxa"/>
          <w:bottom w:w="28" w:type="dxa"/>
          <w:right w:w="28" w:type="dxa"/>
        </w:tblCellMar>
      </w:tblPr>
      <w:tblGrid>
        <w:gridCol w:w="1190"/>
        <w:gridCol w:w="1044"/>
        <w:gridCol w:w="1051"/>
        <w:gridCol w:w="408"/>
        <w:gridCol w:w="1195"/>
        <w:gridCol w:w="301"/>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Liabilities</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other restructuring costs</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other restructuring costs</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restructuring activities as part of the 2023 Restructuring Plan are substantially complete, but there may be some additional immaterial restructuring costs during the remainder of 2024. Restructuring initiatives are under evaluation which may affect the amount and expected timing of restructuring costs and associated payments.</w:t>
      </w:r>
    </w:p>
    <w:p>
      <w:pPr>
        <w:pStyle w:val="TextBody"/>
        <w:bidi w:val="0"/>
        <w:spacing w:lineRule="auto" w:line="288" w:before="0" w:after="24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Restructuring Plan</w:t>
      </w:r>
    </w:p>
    <w:p>
      <w:pPr>
        <w:pStyle w:val="TextBody"/>
        <w:bidi w:val="0"/>
        <w:spacing w:lineRule="auto" w:line="288" w:before="2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2022, we initiated a restructuring plan (2022 Restructuring Plan) to optimize our cost structure and focus our investment of resources in key priority areas to align with strategic changes. As part of the 2022 Restructuring Plan, we significantly reduced investment in our life sciences business unit, which is generally part of the technology segment, and also reduced headcount throughout the Company, including among our senior leadership team. The restructuring costs primarily related to severance and other team member costs from workforce reductions, impairment of discontinued capitalized internal-use software projects, and other miscellaneous charges. We substantially completed all actions under the 2022 Restructuring Plan in early 2023 and, as of December 31, 2023, the related restructuring liabilities were completely settled through cash outlays made to impacted team members.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50545"/>
                <wp:effectExtent l="0" t="0" r="0" b="0"/>
                <wp:wrapNone/>
                <wp:docPr id="41" name="Frame4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2022 Restructuring Plan costs by financial statement line item for the six months ended June 30, 2023 (in thousands). We had no restructuring costs for the three months ended June 30, 2023.</w:t>
      </w:r>
    </w:p>
    <w:tbl>
      <w:tblPr>
        <w:tblW w:w="10205" w:type="dxa"/>
        <w:jc w:val="left"/>
        <w:tblInd w:w="0" w:type="dxa"/>
        <w:tblLayout w:type="fixed"/>
        <w:tblCellMar>
          <w:top w:w="28" w:type="dxa"/>
          <w:left w:w="28" w:type="dxa"/>
          <w:bottom w:w="28" w:type="dxa"/>
          <w:right w:w="28" w:type="dxa"/>
        </w:tblCellMar>
      </w:tblPr>
      <w:tblGrid>
        <w:gridCol w:w="1481"/>
        <w:gridCol w:w="1236"/>
        <w:gridCol w:w="1239"/>
        <w:gridCol w:w="437"/>
        <w:gridCol w:w="1276"/>
        <w:gridCol w:w="225"/>
        <w:gridCol w:w="109"/>
        <w:gridCol w:w="109"/>
        <w:gridCol w:w="109"/>
        <w:gridCol w:w="292"/>
        <w:gridCol w:w="858"/>
        <w:gridCol w:w="153"/>
        <w:gridCol w:w="109"/>
        <w:gridCol w:w="109"/>
        <w:gridCol w:w="109"/>
        <w:gridCol w:w="211"/>
        <w:gridCol w:w="616"/>
        <w:gridCol w:w="109"/>
        <w:gridCol w:w="109"/>
        <w:gridCol w:w="109"/>
        <w:gridCol w:w="109"/>
        <w:gridCol w:w="211"/>
        <w:gridCol w:w="721"/>
        <w:gridCol w:w="159"/>
      </w:tblGrid>
      <w:tr>
        <w:trPr/>
        <w:tc>
          <w:tcPr>
            <w:tcW w:w="148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3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c>
      </w:tr>
      <w:tr>
        <w:trPr/>
        <w:tc>
          <w:tcPr>
            <w:tcW w:w="3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 and Other Team Member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Impairment Charges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Other</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1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2022 Restructuring Plan final, cumulative charges incurred through December 31, 2023</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(1)Consists of impairment of a discontinued internal-use software project as part of the 2022 Restructuring Plan. </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(2)Includes other minor miscellaneous charges associated with the restructuring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20. Subsequent Events</w:t>
      </w:r>
    </w:p>
    <w:p>
      <w:pPr>
        <w:pStyle w:val="TextBody"/>
        <w:bidi w:val="0"/>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16, 2024 (Closing Date), we entered into a credit agreement with Silver Point Finance, LLC, as administrative agent and collateral agent, and the lenders from time to time party thereto. The credit agreement provides a five-year term loan facility in an aggregate principal amount of up to $225 million, consisting of an initial term loan in the aggregate principal amount of $125 million, which was funded in full on the Closing Date, and a delayed draw term loan facility in the aggregate principal amount of $100 million, which was undrawn as of the Closing Date. We have the option to draw up to $40 million under the delayed draw facility within six months after the Closing Date and up to an additional $60 million under the delayed draw facility within eighteen months after the Closing Date, in each case, subject to satisfaction of certain conditions, including a minimum liquidity threshold and a maximum recurring revenue ratio. Borrowings under the credit agreement are expected to bear interest at a rate per annum equal to the secured overnight financing rate plus 6.5%. Commencing with the quarter ending on December 31, 2024, we are required to make quarterly principal payments in an amount equal to 0.25% of the aggregate original principal amount, and the final maturity date of the term loans is July 16, 2029.</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proceeds from the initial term loan will be used, together with cash on hand, (i) to repurchase, repay, and/or pay amounts of cash due upon conversion of any or all of the Notes at any time on or prior to the maturity of the Notes and (ii) for working capital and general corporate purposes. The proceeds from the delayed draw term loan facility, if any, will be used to fund our inorganic growth strategy through permitted acquisitions (including deferred purchase price or similar arrangements related thereto) and to pay fees, costs, and expenses in connection therewith.</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prepay the term loans upon the occurrence of certain events, and we may voluntarily prepay the term loans, in whole or in part, at any time, subject to certain notice requirements and prepayment amounts. Prior to July 16, 2028, such mandatory prepayments or voluntary prepayments are subject to a prepayment premium ranging from 1.0% to 3.0% plus a make whole amount depending on the year of such prepayment. We are also required to pay a commitment fee on the unutilized commitments under the delayed draw term loan facility ranging from 1.5% to 2.5% per year depending on the year and the unutilized delayed draw term loan.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50545"/>
                <wp:effectExtent l="0" t="0" r="0" b="0"/>
                <wp:wrapNone/>
                <wp:docPr id="42" name="Frame4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HEALTH CATALYST,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obligations under the credit agreement and the other loan documents are required to be guaranteed by all of our present and future domestic and foreign subsidiaries, subject to certain exceptions (Guarantors). All obligations under the credit agreement and the other loan documents are secured by a first priority perfected lien on, and security interest in, substantially all of our and our Guarantor’s present and future assets, subject to certain exceptions.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various representations and warranties, affirmative covenants, and negative covenants, including covenants that restrict our and our subsidiaries’ ability to take certain actions including, among other things and subject to certain exceptions, the incurrence of debt, the granting of liens, engaging in mergers and other fundamental changes, the making of investments, entering into transactions with affiliates, the payment of dividends and other restricted payments, the prepayment of other indebtedness and the sale of assets. We are also required to comply with a minimum liquidity threshold, a maximum recurring revenue-based leverage ratio, and a maximum EBITDA-based leverage ratio.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also includes various events of default, including, among others: non-payment of principal, interest or fees, violation of covenants, inaccuracy of representations or warranties, cross-default to other material indebtedness, bankruptcy and insolvency events, invalidity or impairment of security interests or invalidity of loan documents, certain ERISA events, unsatisfied or unstayed judgments and change of control. Upon the occurrence of an event of default, the administrative agent and the lenders may declare all outstanding obligations immediately due and payable and take such other actions as set forth in the credit agreement and the related loan documents, including proceeding against the collateral securing such borrowings.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Lumeon Acquisition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2024, we acquired Lumeon Ltd. (Lumeon), a digital health company dedicated to helping provider organizations mend broken care coordination processes through automated care orchestration, for preliminary consideration of approximately $37.5 million in cash and $2.5 million of our common stock, plus a potential recurring revenue-based earn-out of up to $25 million that, if achieved, would be paid solely in cash. Given the recent timing of the closing of this business combination, we are in the process of identifying and measuring the value of the assets acquired and liabilities assumed. We plan to disclose the preliminary purchase price allocation estimates and other related information in our Quarterly Report on Form 10-Q for the quarter ending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50545"/>
                <wp:effectExtent l="0" t="0" r="0" b="0"/>
                <wp:wrapNone/>
                <wp:docPr id="43" name="Frame4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condensed consolidated financial statements, the accompanying notes, and other financial information included elsewhere in this Quarterly Report on Form 10-Q. This discussion contains forward-looking statements that involve risks, uncertainties, and assumptions. Our actual results could differ materially from those forward-looking statements below. Factors that could cause or contribute to those differences include, but are not limited to, those identified below and those discussed in the sections titled “Risk Factors” and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provider of data and analytics technology and services to healthcare organizations. Our Solution comprises our cloud-based data platforms, software analytics applications, and professional services expertise. Our clients, which are primarily healthcare providers, use our Solution to manage their data, derive analytical insights to operate their organization, and produce measurable clinical, financial, and operational improvements. We envision a future where all healthcare decisions are data informed.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Highlights from the three and six months ended June 30, 2024 included: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 xml:space="preserve">We recognized total revenue of $75.9 million and $73.2 million for the three months ended June 30, 2024 and 2023, respectively, and $150.6 million and $147.1 million for the six months ended June 30, 2024, and 2023, respectively. The growth in revenue was primarily due to revenue from new clients and revenue expansion from existing clients, generally in Tech-enabled Managed Services.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We incurred net losses of $13.5 million and $32.6 million for the three months ended June 30, 2024 and 2023, respectively, and $34.1 million and $65.8 million for the six months ended June 30, 2024, and 2023, respectively.</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Our Adjusted EBITDA was $7.5 million and $3.5 million for the three months ended June 30, 2024 and 2023, respectively, and $10.9 million and $7.7 million for the six months ended June 30, 2024, and 2023, respectively. See the section titled “Key Financial Metrics—Reconciliation of Non-GAAP Financial Measures” below for more information about Adjusted EBITDA, including the limitations of such measure and a reconciliation to net loss, the most directly comparable measure calculated in accordance with GAAP.</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the section titled “Key Factors Affecting Our Performance” for more information about important opportunities and challenges related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Macroeconomic Environment and Strategic Operating Plan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Recent macroeconomic challenges (including high levels of inflation and high interest rates) and the tight labor market continue to adversely affect workforces, organizations, governments, clients, economies, and financial markets globally. These factors have disrupted the normal operations of many businesses, including our business. These factors have also placed the national healthcare system under significant operational and budgetary strain.</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 system end market, in particular, has experienced meaningful financial strain over the last couple of years, in which it has realized significant increases in labor and supply costs without a commensurate increase in revenue, leading to a deterioration in operating margins across many of our clients and prospective clients. We saw a decrease in pipeline demand in 2023 relative to the period prior due to the onset of these macroeconomic factors in 2022, as well as some elevated realized and anticipated down-sell and churn levels, primarily for the parts of our Solution that do not offer near-term, financial return on investment (ROI), such as our clinically-focused technology offerings and our more traditional consulting Professional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50545"/>
                <wp:effectExtent l="0" t="0" r="0" b="0"/>
                <wp:wrapNone/>
                <wp:docPr id="44" name="Frame4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recent quarters, we have been encouraged to have seen incremental improvements, including in the six month period ending June 30, 2024, and we are encouraged to see steadily improving and stabilizing operating margins for clients and prospective clients in our health system end market. With respect to other near-term implications of the macroeconomic environment, we anticipate improvement in our 2024 bookings metrics relative to 2022 and 2023 for both net new DOS Subscription Client additions and Dollar-based Retention Rate. As it relates to Dollar-based Retention Rate, execution on Tech-enabled Managed Services bookings in the second half of 2024 will have a meaningful impact on our Dollar-based Retention Rate for the 2024 year. We also anticipate that a higher proportion of our net bookings will occur in the second half of 2024 as compared to our historical average, largely due to the anticipated timing of our larger pipeline opportunities.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 June 30, 2024, our year to date net new DOS Subscription Client additions had a lower average starting annual recurring revenue (ARR) as compared to historical levels. We currently expect our average subscription revenue and non-recurring revenue for net new DOS Subscription Clients signed in the year ended December 31, 2024 (new 2024 DOS Subscription Clients) to be between an average range of $400,000 to $1,000,000, driven primarily by momentum in modular additions from Health Catalyst Ignite, such as Healthcare.AI and KPI Ninja’s Ninja Universe, Health Catalyst Ignite’s interoperability platform, which resulted in subscription revenue that is significantly lower than subscription revenue derived from a contract that includes access to all of the DOS platform components and analytic applications. Our modular pricing, which can be lower than our historical averages, has enabled a higher volume of opportunities. This average dollar range is comprised of new 2024 DOS Subscription Clients with (i) average revenue in the expected average range or significantly above the expected average range noted above, driven by the size of the client organization and the bundle of technology and services included in their subscription and (ii) average revenue meaningfully below the low-end of the expected range noted above, driven by sales of stand-alone Health Catalyst Ignite module components, which provided greater deal certainty in a more challenging macroeconomic environment, and which we believe will provide an opportunity to expand our relationship with these DOS Subscription Clients in the future, including through cross-selling efforts.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introduced Health Catalyst Ignite, our next-generation data and analytics platform, which benefits from significant scalability and modularity. We expect to migrate existing DOS Subscription Clients to this new platform over the next two to three years. Over the medium-term, we expect the migration to Health Catalyst Ignite to result in a technology gross margin tailwind; however, we expect a near-term headwind as clients are being migrated. We anticipate new DOS Subscription Clients in 2024 will be deployed directly onto Health Catalyst Ignite. Furthermore, given the modularity of Health Catalyst Ignite and migrations to its platform, we now primarily refer to DOS Subscription Clients as Platform Subscription Clients.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benefit from a highly recurring revenue model, in which greater than 90% of our revenue is recurring in nature, and a high level of technology revenue predictability, especially within our Platform Subscription Clients whose contracts, when sold as a bundle with our analytics applications, often have built-in, contractual technology revenue escalators.</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described, within our professional services segment, a subset of clients have reduced their spend, while in the technology segment, a subset of modular clients and smaller platform clients have reduced their application and analytics spend. However, we anticipate our aggregate churn levels in 2024 to improve compared to 2023. </w:t>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Given the improved bookings performance of our TEMS offering in recent years, a higher proportion of our bookings in 2023 came from our professional services offering relative to 2022, as health systems looked for solutions to effectively address their near-term expense challenges. While this change in bookings mix will lead to lower professional services gross margin and Adjusted Professional Services Gross Margin and Total Adjusted Gross Margin in future years, we expect that we will achieve improvements in net loss and Adjusted EBITDA as a result of the minimal incremental operating expense required to support our TEMS growth. We continue to anticipate that our adjusted operating expenses as a percentage of revenue will trend lower, largely due to our restructuring efforts and meaningful continued operating leverage.</w:t>
      </w:r>
    </w:p>
    <w:p>
      <w:pPr>
        <w:pStyle w:val="TextBody"/>
        <w:bidi w:val="0"/>
        <w:spacing w:before="18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50545"/>
                <wp:effectExtent l="0" t="0" r="0" b="0"/>
                <wp:wrapNone/>
                <wp:docPr id="45" name="Frame4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proactively respond to the macroeconomic environment with a strategic operating plan that emphasizes our offerings and go-to-market approach in the areas where we have the most competitive differentiation and where clients are most likely to achieve measurable financial and operational ROI both in the near term and over time. We believe this focus will enable us to move forward in a position of continued competitive and financial strength. We will continue to refine this strategic operating plan and are continuing to make several investments in research and development, primarily in enhancing the capabilities within Health Catalyst Ignite, in order to maintain our position as a market-leading data platform over the long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Key Financial Metrics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review a number of metrics, including the following key financial metrics, to manage our business and evaluate our operating performance compared to that of other companies in our industry:</w:t>
      </w:r>
    </w:p>
    <w:tbl>
      <w:tblPr>
        <w:tblW w:w="9033" w:type="dxa"/>
        <w:jc w:val="left"/>
        <w:tblInd w:w="0" w:type="dxa"/>
        <w:tblLayout w:type="fixed"/>
        <w:tblCellMar>
          <w:top w:w="28" w:type="dxa"/>
          <w:left w:w="28" w:type="dxa"/>
          <w:bottom w:w="28" w:type="dxa"/>
          <w:right w:w="28" w:type="dxa"/>
        </w:tblCellMar>
      </w:tblPr>
      <w:tblGrid>
        <w:gridCol w:w="1026"/>
        <w:gridCol w:w="901"/>
        <w:gridCol w:w="908"/>
        <w:gridCol w:w="211"/>
        <w:gridCol w:w="796"/>
        <w:gridCol w:w="271"/>
        <w:gridCol w:w="109"/>
        <w:gridCol w:w="109"/>
        <w:gridCol w:w="109"/>
        <w:gridCol w:w="211"/>
        <w:gridCol w:w="796"/>
        <w:gridCol w:w="271"/>
        <w:gridCol w:w="109"/>
        <w:gridCol w:w="109"/>
        <w:gridCol w:w="109"/>
        <w:gridCol w:w="211"/>
        <w:gridCol w:w="826"/>
        <w:gridCol w:w="271"/>
        <w:gridCol w:w="109"/>
        <w:gridCol w:w="109"/>
        <w:gridCol w:w="109"/>
        <w:gridCol w:w="211"/>
        <w:gridCol w:w="826"/>
        <w:gridCol w:w="316"/>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GAAP Financial Measures:</w:t>
            </w:r>
          </w:p>
        </w:tc>
        <w:tc>
          <w:tcPr>
            <w:tcW w:w="28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147,081 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the key metrics set forth in the preceding table to help us evaluate trends, establish budgets, measure the effectiveness and efficiency of our operations, and determine team member incentives. We discuss Adjusted Gross Profit, Adjusted Gross Margin, and Adjusted EBITDA in more detail below.</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Reconciliation of non-GAAP financial measures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results determined in accordance with GAAP, we believe certain non-GAAP financial measures, including Adjusted Gross Profit, Adjusted Gross Margin, and Adjusted EBITDA, are useful in evaluating our operating performance. For example, we exclude stock-based compensation expense because it is non-cash in nature and excluding this expense provides meaningful supplemental information regarding our operational performance and allows investors the ability to make more meaningful comparisons between our operating results and those of other companies. We use this non-GAAP financial information to evaluate our ongoing operations, as a component in determining employee bonus compensation, and for internal planning and forecasting purposes.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bidi w:val="0"/>
        <w:spacing w:before="0" w:after="24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50545"/>
                <wp:effectExtent l="0" t="0" r="0" b="0"/>
                <wp:wrapNone/>
                <wp:docPr id="46" name="Frame4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Adjusted Gross Profit and Adjusted Gross Margin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is a GAAP financial measure that is calculated as revenue less cost of revenue, including depreciation and amortization of capitalized software development costs and acquired technology. We calculate gross margin as gross profit divided by our revenue. Adjusted Gross Profit is a non-GAAP financial measure that we define as gross profit, adjusted for (i) depreciation and amortization, (ii) stock-based compensation, (iii) acquisition-related costs, net, and (iv) restructuring costs, as applicable. We define Adjusted Gross Margin as our Adjusted Gross Profit divided by our revenue. We believe Adjusted Gross Profit and Adjusted Gross Margin are useful to investors as they eliminate the impact of certain non-cash expenses and allow a direct comparison of these measures between periods without the impact of non-cash expenses, as well as certain other non-recurring operating expenses, and certain other non-recurring operating expenses.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both of these measures for our technology and professional services business. We believe these non-GAAP measures are useful in evaluating our operating performance compared to that of other companies in our industry, as these metrics generally eliminate the effects of certain items that may vary from company to company for reasons unrelated to overall profitability.</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calculation of our gross profit and gross margin and a reconciliation of gross profit and gross margin to our Adjusted Gross Profit and Adjusted Gross Margin in total and for technology and professional services for the three months ended June 30, 2024 and 2023.</w:t>
      </w:r>
    </w:p>
    <w:tbl>
      <w:tblPr>
        <w:tblW w:w="9524" w:type="dxa"/>
        <w:jc w:val="left"/>
        <w:tblInd w:w="0" w:type="dxa"/>
        <w:tblLayout w:type="fixed"/>
        <w:tblCellMar>
          <w:top w:w="28" w:type="dxa"/>
          <w:left w:w="28" w:type="dxa"/>
          <w:bottom w:w="28" w:type="dxa"/>
          <w:right w:w="28" w:type="dxa"/>
        </w:tblCellMar>
      </w:tblPr>
      <w:tblGrid>
        <w:gridCol w:w="1731"/>
        <w:gridCol w:w="1528"/>
        <w:gridCol w:w="1540"/>
        <w:gridCol w:w="211"/>
        <w:gridCol w:w="721"/>
        <w:gridCol w:w="271"/>
        <w:gridCol w:w="109"/>
        <w:gridCol w:w="109"/>
        <w:gridCol w:w="109"/>
        <w:gridCol w:w="284"/>
        <w:gridCol w:w="971"/>
        <w:gridCol w:w="365"/>
        <w:gridCol w:w="109"/>
        <w:gridCol w:w="109"/>
        <w:gridCol w:w="109"/>
        <w:gridCol w:w="211"/>
        <w:gridCol w:w="721"/>
        <w:gridCol w:w="316"/>
      </w:tblGrid>
      <w:tr>
        <w:trPr/>
        <w:tc>
          <w:tcPr>
            <w:tcW w:w="173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Professional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28,267 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(23,993)</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and equipment,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and equipment,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Acquisition-related costs, net</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(1)Acquisition-related costs, net include deferred retention expenses attributable to the Carevive, ARMUS, and KPI Ninja acquisitions.</w:t>
      </w:r>
    </w:p>
    <w:p>
      <w:pPr>
        <w:pStyle w:val="TextBody"/>
        <w:bidi w:val="0"/>
        <w:spacing w:before="0" w:after="0"/>
        <w:jc w:val="both"/>
        <w:rPr/>
      </w:pPr>
      <w:r>
        <w:rPr/>
      </w:r>
    </w:p>
    <w:p>
      <w:pPr>
        <w:pStyle w:val="TextBody"/>
        <w:bidi w:val="0"/>
        <w:spacing w:before="0" w:after="60"/>
        <w:jc w:val="both"/>
        <w:rPr/>
      </w:pPr>
      <w:r>
        <w:rPr/>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50545"/>
                <wp:effectExtent l="0" t="0" r="0" b="0"/>
                <wp:wrapNone/>
                <wp:docPr id="47" name="Frame4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tbl>
      <w:tblPr>
        <w:tblW w:w="9524" w:type="dxa"/>
        <w:jc w:val="left"/>
        <w:tblInd w:w="0" w:type="dxa"/>
        <w:tblLayout w:type="fixed"/>
        <w:tblCellMar>
          <w:top w:w="28" w:type="dxa"/>
          <w:left w:w="28" w:type="dxa"/>
          <w:bottom w:w="28" w:type="dxa"/>
          <w:right w:w="28" w:type="dxa"/>
        </w:tblCellMar>
      </w:tblPr>
      <w:tblGrid>
        <w:gridCol w:w="1731"/>
        <w:gridCol w:w="1528"/>
        <w:gridCol w:w="1540"/>
        <w:gridCol w:w="211"/>
        <w:gridCol w:w="721"/>
        <w:gridCol w:w="271"/>
        <w:gridCol w:w="109"/>
        <w:gridCol w:w="109"/>
        <w:gridCol w:w="109"/>
        <w:gridCol w:w="284"/>
        <w:gridCol w:w="971"/>
        <w:gridCol w:w="365"/>
        <w:gridCol w:w="109"/>
        <w:gridCol w:w="109"/>
        <w:gridCol w:w="109"/>
        <w:gridCol w:w="211"/>
        <w:gridCol w:w="721"/>
        <w:gridCol w:w="316"/>
      </w:tblGrid>
      <w:tr>
        <w:trPr/>
        <w:tc>
          <w:tcPr>
            <w:tcW w:w="173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Professional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25,889 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(23,579)</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and equipment,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and equipment,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Acquisition-related costs, net</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(1)Acquisition-related costs, net include deferred retention expenses attributable to the ARMUS and KPI Ninja acquisitions.</w:t>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Technology gross margin remained constant at 51% for the three months ended June 30, 2023 and 2024. Adjusted Technology Gross Margin decreased from 68% for the three months ended June 30, 2023 to 67% for the three months ended June 30, 2024. This year-over-year result was mainly driven by continued costs associated with transitioning a portion of our client base to Azure-hosted environments as well as from costs associated with migrating a subset of Platform Subscription Clients to Health Catalyst Ignite, partially offset by existing clients paying higher technology access fees from contractual, built-in escalators, without a corresponding increase in hosting costs.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Adjusted Technology Gross Margin to fluctuate and potentially decline in the near term, primarily due to additional costs associated with the ongoing transition of a small number of clients from our managed data centers or on-premise to third-party hosted data centers with Microsoft Azure as well as the migration of a subset of clients to Health Catalyst Ignite. The potential decline is also attributable to a small subset of modular clients reducing their subscriptions to our software analytic applications, which tend to be higher margin offerings.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 gross margin increased from 9% for the three months ended June 30, 2023 to 15% for the three months ended June 30, 2024. Adjusted Professional Services Gross Margin increased from 17% for the three months ended June 30, 2023 to 20% for the three months ended June 30, 2024, primarily due to higher utilization rates and cost management efforts, driven in large part by the reduction in force that primarily occurred late in the fourth quarter of 2023 and early 2024. Our professional services are comprised of data and analytics services, domain expertise services, TEMS, and implementation services. The majority of our professional services revenue is generated from data and analytic services and domain expertise services, which are the highest gross margin professional services we provide. The delivery mix among all of our services in a given period can lead to fluctuations in our Adjusted Professional Services Gross Margin.</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gross margin increased slightly from 36% for the three months ended June 30, 2023 to 38% for the three months ended June 30, 2024. Total Adjusted Gross Margin remained consistent at 50% for the three months ended June 30, 2024 and 2023. We expect total Adjusted Gross Margin to fluctuate and decline in the near term, primarily due to anticipated growth in professional services, including 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50545"/>
                <wp:effectExtent l="0" t="0" r="0" b="0"/>
                <wp:wrapNone/>
                <wp:docPr id="48" name="Frame4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calculation of our gross profit and gross margin and a reconciliation of gross profit and gross margin to our Adjusted Gross Profit and Adjusted Gross Margin in total and for technology and professional services for the six months ended June 30, 2024 and 2023.</w:t>
      </w:r>
    </w:p>
    <w:tbl>
      <w:tblPr>
        <w:tblW w:w="9629" w:type="dxa"/>
        <w:jc w:val="left"/>
        <w:tblInd w:w="0" w:type="dxa"/>
        <w:tblLayout w:type="fixed"/>
        <w:tblCellMar>
          <w:top w:w="28" w:type="dxa"/>
          <w:left w:w="28" w:type="dxa"/>
          <w:bottom w:w="28" w:type="dxa"/>
          <w:right w:w="28" w:type="dxa"/>
        </w:tblCellMar>
      </w:tblPr>
      <w:tblGrid>
        <w:gridCol w:w="1731"/>
        <w:gridCol w:w="1528"/>
        <w:gridCol w:w="1540"/>
        <w:gridCol w:w="211"/>
        <w:gridCol w:w="721"/>
        <w:gridCol w:w="271"/>
        <w:gridCol w:w="109"/>
        <w:gridCol w:w="109"/>
        <w:gridCol w:w="109"/>
        <w:gridCol w:w="284"/>
        <w:gridCol w:w="971"/>
        <w:gridCol w:w="365"/>
        <w:gridCol w:w="109"/>
        <w:gridCol w:w="109"/>
        <w:gridCol w:w="109"/>
        <w:gridCol w:w="211"/>
        <w:gridCol w:w="826"/>
        <w:gridCol w:w="316"/>
      </w:tblGrid>
      <w:tr>
        <w:trPr/>
        <w:tc>
          <w:tcPr>
            <w:tcW w:w="173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Professional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56,024 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150,625 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(47,195)</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and equipment,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and equipment,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Acquisition-related costs, net</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11,899 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w:t>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2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(1)Acquisition-related costs, net include deferred retention expenses attributable to the Carevive, ARMUS, and KPI Ninja acquisitions.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(2)Restructuring costs include severance and other team member costs from workforce reductions. </w:t>
      </w:r>
    </w:p>
    <w:p>
      <w:pPr>
        <w:pStyle w:val="TextBody"/>
        <w:bidi w:val="0"/>
        <w:spacing w:before="0" w:after="60"/>
        <w:jc w:val="both"/>
        <w:rPr/>
      </w:pPr>
      <w:r>
        <w:rPr/>
      </w:r>
    </w:p>
    <w:tbl>
      <w:tblPr>
        <w:tblW w:w="9629" w:type="dxa"/>
        <w:jc w:val="left"/>
        <w:tblInd w:w="0" w:type="dxa"/>
        <w:tblLayout w:type="fixed"/>
        <w:tblCellMar>
          <w:top w:w="28" w:type="dxa"/>
          <w:left w:w="28" w:type="dxa"/>
          <w:bottom w:w="28" w:type="dxa"/>
          <w:right w:w="28" w:type="dxa"/>
        </w:tblCellMar>
      </w:tblPr>
      <w:tblGrid>
        <w:gridCol w:w="1731"/>
        <w:gridCol w:w="1528"/>
        <w:gridCol w:w="1540"/>
        <w:gridCol w:w="211"/>
        <w:gridCol w:w="721"/>
        <w:gridCol w:w="271"/>
        <w:gridCol w:w="109"/>
        <w:gridCol w:w="109"/>
        <w:gridCol w:w="109"/>
        <w:gridCol w:w="284"/>
        <w:gridCol w:w="971"/>
        <w:gridCol w:w="365"/>
        <w:gridCol w:w="109"/>
        <w:gridCol w:w="109"/>
        <w:gridCol w:w="109"/>
        <w:gridCol w:w="211"/>
        <w:gridCol w:w="826"/>
        <w:gridCol w:w="316"/>
      </w:tblGrid>
      <w:tr>
        <w:trPr/>
        <w:tc>
          <w:tcPr>
            <w:tcW w:w="173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Professional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52,571 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147,081 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(47,156)</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and equipment,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and equipment,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Acquisition-related costs, net</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9,806 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w:t>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2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(1)Acquisition-related costs, net include deferred retention expenses attributable to the ARMUS and KPI Ninja acquisitions.</w:t>
      </w:r>
    </w:p>
    <w:p>
      <w:pPr>
        <w:pStyle w:val="TextBody"/>
        <w:bidi w:val="0"/>
        <w:spacing w:lineRule="auto" w:line="288" w:before="0" w:after="24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(2)Restructuring costs include severance and other team member costs from workforce reductions.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50545"/>
                <wp:effectExtent l="0" t="0" r="0" b="0"/>
                <wp:wrapNone/>
                <wp:docPr id="49" name="Frame4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Technology gross margin remained consistent at 52% for each of the six months ended June 30, 2024 and 2023. Adjusted Technology Gross Margin decreased from 69% for the six months ended June 30, 2023 to 68% for the six months ended June 30, 2024. This year-over-year result was mainly driven by continued costs associated with transitioning a portion of our client base to Azure-hosted environments as well as from costs associated with migrating a subset of Platform Subscription Clients to Health Catalyst Ignite, partially offset by existing clients paying higher technology access fees from contractual, built-in escalators, without a corresponding increase in hosting costs.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Adjusted Technology Gross Margin to fluctuate and potentially decline in the near term, primarily due to additional costs associated with the ongoing transition of a small number of clients from our managed data centers or on-premise to third-party hosted data centers with Microsoft Azure as well as the migration of a subset of clients to Health Catalyst Ignite. The potential decline is also attributable to a small subset of modular clients reducing their subscriptions to our software analytic applications, which tend to be higher margin offerings.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 gross margin increased from 10% for the six months ended June 30, 2023 to 16% for the six months ended June 30, 2024. Adjusted Professional Services Gross Margin increased from 19% for the six months ended June 30, 2023 to 21% for the six months ended June 30, 2024, primarily due to higher utilization rates and cost management efforts, driven in large part by the reduction in force that primarily occurred late in the fourth quarter of 2023 and early 2024. Our professional services are comprised of data and analytics services, domain expertise services, TEMS, and implementation services. The majority of our professional services revenue is generated from data and analytic services and domain expertise services, which are the highest gross margin professional services we provide. The delivery mix among all of our services in a given period can lead to fluctuations in our Adjusted Professional Services Gross Margin.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2023, our board of directors approved workforce reductions as part of a restructuring plan intended to optimize our cost structure and focus our investment of resources in key priority areas to align with strategic changes (2023 Restructuring Plan). These reductions enabled significant improvement in our Adjusted Professional Services Gross Margin in the first two quarters of 2024 compared to the fourth quarter of 2023. However we still expect Adjusted Professional Services Gross Margin to fluctuate on a quarterly basis due to changes in the mix of services we provide, the amount of operational overhead required to deliver our services, and clients delaying or reducing services due to a potentially uncertain and challenging macroeconomic environment.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Specifically, in the near term, we expect our mix of services to include more TEMS, which have minimal initial services gross margins that gradually increase over time as we drive efficiencies in service delivery through the use of our technology. As part of our TEMS contracts, we often re-badge existing health system team members within the applicable functional area as Health Catalyst team members. We often provide a client with a near-term discount relative to their existing costs for the scope of the TEMS opportunity, and we drive incremental gross margin over time by leveraging our technology and know-how to make processes more efficient and reduce the client’s labor costs. While there will be a headwind to gross margin from these TEMS in the near term, we believe this model will benefit our mid and long-term Adjusted EBITDA and profitability targets due to improved direct margin on these services over time, our ability to drive operating leverage with lower relative incremental operating expense investment required, and the fact that these contracts typically result in long-term technology subscription contract renewals or expansions.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gross margin increased slightly from 37% for the six months ended June 30, 2023 to 39% for the six months ended June 30, 2024. Total Adjusted Gross Margin remained consistent at 51% for the six months ended June 30, 2024 and 2023. We expect total Adjusted Gross Margin to fluctuate and decline in the near term, primarily due to anticipated growth in professional services, including TEMS.</w:t>
      </w:r>
    </w:p>
    <w:p>
      <w:pPr>
        <w:pStyle w:val="TextBody"/>
        <w:bidi w:val="0"/>
        <w:spacing w:before="24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50545"/>
                <wp:effectExtent l="0" t="0" r="0" b="0"/>
                <wp:wrapNone/>
                <wp:docPr id="50" name="Frame5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bidi w:val="0"/>
        <w:spacing w:lineRule="auto" w:line="288"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 non-GAAP financial measure that we define as net loss adjusted for (i) interest and other (income) expense, net, (ii) income tax provision (benefit), (iii) depreciation and amortization, (iv) stock-based compensation, (v) acquisition-related costs, net, (vi) litigation costs, (vii) restructuring costs, and (viii) non-recurring lease-related charges. We view acquisition-related expenses when applicable, such as transaction costs and changes in the fair value of contingent consideration liabilities that are directly related to business combinations, as costs that are unpredictable, dependent upon factors outside of our control, and are not necessarily reflective of operational performance during a period. We believe that excluding restructuring costs, litigation costs, and non-recurring lease-related charges allows for more meaningful comparisons between operating results from period to period as these are separate from the core activities that arise in the ordinary course of our business and are not part of our ongoing operations. We believe Adjusted EBITDA provides investors with useful information on period-to-period performance as evaluated by management and a comparison with our past financial performance, and is useful in evaluating our operating performance compared to that of other companies in our industry, as this metric generally eliminates the effects of certain items that may vary from company to company for reasons unrelated to overall operating performance.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Adjusted EBITDA improved year-over-year as a result of our revenue growth and cost reduction initiatives as well as the timing of some non-headcount expenses, including the change in timing of our Healthcare Analytics Summit (HAS) event. We generally expect annual Adjusted EBITDA to continue to improve going forward, although it may fluctuate from quarter to quarter as a result of the timing of non-recurring revenue and the seasonality of certain operating costs.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our Adjusted EBITDA to net loss, the most directly comparable financial measure calculated in accordance with GAAP, for the three and six months ended June 30, 2024 and 2023.</w:t>
      </w:r>
    </w:p>
    <w:tbl>
      <w:tblPr>
        <w:tblW w:w="8834" w:type="dxa"/>
        <w:jc w:val="left"/>
        <w:tblInd w:w="0" w:type="dxa"/>
        <w:tblLayout w:type="fixed"/>
        <w:tblCellMar>
          <w:top w:w="28" w:type="dxa"/>
          <w:left w:w="28" w:type="dxa"/>
          <w:bottom w:w="28" w:type="dxa"/>
          <w:right w:w="28" w:type="dxa"/>
        </w:tblCellMar>
      </w:tblPr>
      <w:tblGrid>
        <w:gridCol w:w="1348"/>
        <w:gridCol w:w="990"/>
        <w:gridCol w:w="1006"/>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Acquisition-related costs, net</w:t>
            </w:r>
            <w:r>
              <w:rPr>
                <w:rFonts w:ascii="Times New Roman;sans-serif" w:hAnsi="Times New Roman;sans-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Litigation costs</w:t>
            </w:r>
            <w:r>
              <w:rPr>
                <w:rFonts w:ascii="Times New Roman;sans-serif" w:hAnsi="Times New Roman;sans-serif"/>
                <w:b w:val="false"/>
                <w:color w:val="000000"/>
                <w:sz w:val="13"/>
              </w:rPr>
              <w:t>(2)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(3)</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Non-recurring lease-related charges</w:t>
            </w:r>
            <w:r>
              <w:rPr>
                <w:rFonts w:ascii="Times New Roman;sans-serif" w:hAnsi="Times New Roman;sans-serif"/>
                <w:b w:val="false"/>
                <w:color w:val="000000"/>
                <w:sz w:val="13"/>
              </w:rPr>
              <w:t>(4)</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(1)Acquisition-related costs, net include third-party fees associated with due diligence and deferred retention expenses, and post-acquisition restructuring costs incurred as part of business combinations.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(2)Litigation costs include costs related to litigation that are outside the ordinary course of our business. For additional details, refer to Note 15 in our condensed consolidated financial statements.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(3)Restructuring costs include severance and other team member costs from workforce reductions. For additional details, refer to Note 19 in our condensed consolidated financial statements.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(4)Non-recurring lease-related charges includes the lease-related impairment charge related to our corporate office space designated for subleasing. For additional details, refer to Note 9 in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50545"/>
                <wp:effectExtent l="0" t="0" r="0" b="0"/>
                <wp:wrapNone/>
                <wp:docPr id="51" name="Frame5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growth, success, and performance are dependent on many factors, including those set forth below. While these factors present significant opportunities for us, they also represent the challenges that we must successfully address in order to grow our business and improve our results of operations.</w:t>
      </w:r>
    </w:p>
    <w:p>
      <w:pPr>
        <w:pStyle w:val="TextBody"/>
        <w:bidi w:val="0"/>
        <w:spacing w:lineRule="auto" w:line="288" w:before="240" w:after="240"/>
        <w:ind w:left="0" w:right="0" w:hanging="360"/>
        <w:jc w:val="both"/>
        <w:rPr/>
      </w:pPr>
      <w:r>
        <w:rPr>
          <w:color w:val="000000"/>
        </w:rPr>
        <w:t>•</w:t>
      </w:r>
      <w:r>
        <w:rPr>
          <w:rFonts w:ascii="Times New Roman;sans-serif" w:hAnsi="Times New Roman;sans-serif"/>
          <w:b/>
          <w:i/>
          <w:color w:val="000000"/>
          <w:sz w:val="20"/>
        </w:rPr>
        <w:t xml:space="preserve">Impact of challenging macroeconomic environment, including high inflation and high interest rates, and the tight labor market. </w:t>
      </w:r>
      <w:r>
        <w:rPr>
          <w:rFonts w:ascii="Times New Roman;sans-serif" w:hAnsi="Times New Roman;sans-serif"/>
          <w:b w:val="false"/>
          <w:color w:val="000000"/>
          <w:sz w:val="20"/>
        </w:rPr>
        <w:t>Recent macroeconomic challenges (including the high levels of inflation and high interest rates) and the tight labor market continue to adversely affect workforces, organizations, governments, clients, economies, and financial markets globally, leading to an economic downturn and increased market volatility. They have also disrupted the normal operations of many businesses, including ours. Our health system end market is currently experiencing meaningful financial strain from significant inflation. In particular, they are experiencing increases in labor and supply costs without a commensurate increase in revenue, leading to significant margin pressure. This margin pressure could continue to decrease healthcare industry spending, adversely affect demand for our technology and services, cause one or more of our clients to file for bankruptcy protection or go out of business, cause one or more of our clients to fail to renew, terminate, or renegotiate their contracts, impact expected spending from new clients, negatively impact collections of accounts receivable, and harm our business, results of operations, and financial condition. It is not possible for us to predict the duration or magnitude of the adverse results of the challenging macroeconomic environment and its effects on our business, results of operations, or financial condition at this time.</w:t>
      </w:r>
    </w:p>
    <w:p>
      <w:pPr>
        <w:pStyle w:val="TextBody"/>
        <w:bidi w:val="0"/>
        <w:spacing w:lineRule="auto" w:line="288" w:before="0" w:after="240"/>
        <w:ind w:left="0" w:right="0" w:hanging="360"/>
        <w:jc w:val="both"/>
        <w:rPr/>
      </w:pPr>
      <w:r>
        <w:rPr>
          <w:color w:val="000000"/>
        </w:rPr>
        <w:t>•</w:t>
      </w:r>
      <w:r>
        <w:rPr>
          <w:rFonts w:ascii="Times New Roman;sans-serif" w:hAnsi="Times New Roman;sans-serif"/>
          <w:b/>
          <w:i/>
          <w:color w:val="000000"/>
          <w:sz w:val="20"/>
        </w:rPr>
        <w:t xml:space="preserve">Add new clients. </w:t>
      </w:r>
      <w:r>
        <w:rPr>
          <w:rFonts w:ascii="Times New Roman;sans-serif" w:hAnsi="Times New Roman;sans-serif"/>
          <w:b w:val="false"/>
          <w:color w:val="000000"/>
          <w:sz w:val="20"/>
        </w:rPr>
        <w:t>We believe our ability to increase our client base will enable us to drive growth. Our potential client base is generally in the early stages of data and analytics adoption and maturity. We expect to further penetrate the market over time as potential clients invest in commercial data and analytics solutions. As one of the first data platform and analytics vendors focused specifically on healthcare organizations, we have an early-mover advantage and strong brand awareness. Our clients are large, complex organizations who typically have long procurement cycles, which, as a result, may lead to declines relative to our historic pace of our new client additions, which included small clients.</w:t>
      </w:r>
    </w:p>
    <w:p>
      <w:pPr>
        <w:pStyle w:val="TextBody"/>
        <w:bidi w:val="0"/>
        <w:spacing w:lineRule="auto" w:line="288" w:before="0" w:after="240"/>
        <w:ind w:left="0" w:right="0" w:hanging="360"/>
        <w:jc w:val="both"/>
        <w:rPr/>
      </w:pPr>
      <w:r>
        <w:rPr>
          <w:color w:val="000000"/>
        </w:rPr>
        <w:t>•</w:t>
      </w:r>
      <w:r>
        <w:rPr>
          <w:rFonts w:ascii="Times New Roman;sans-serif" w:hAnsi="Times New Roman;sans-serif"/>
          <w:b/>
          <w:i/>
          <w:color w:val="000000"/>
          <w:sz w:val="20"/>
        </w:rPr>
        <w:t xml:space="preserve">Leverage recent product and services offerings to drive expansion. </w:t>
      </w:r>
      <w:r>
        <w:rPr>
          <w:rFonts w:ascii="Times New Roman;sans-serif" w:hAnsi="Times New Roman;sans-serif"/>
          <w:b w:val="false"/>
          <w:color w:val="000000"/>
          <w:sz w:val="20"/>
        </w:rPr>
        <w:t>We believe that our ability to expand within our client base will enable us to drive growth. Over the last few years, we have developed and deployed several new analytics applications, including PowerCosting (formerly known as CORUS), PowerLabor, Touchstone, Patient Safety Monitor, Pop Analyzer (formerly known as Population Builder), Value Optimizer, and others. Because we are in the early stages of certain of our applications’ lifecycles and maturity, we do not have enough information to know the impact on revenue growth by upselling these applications and associated services to current and new clients.</w:t>
      </w:r>
    </w:p>
    <w:p>
      <w:pPr>
        <w:pStyle w:val="TextBody"/>
        <w:bidi w:val="0"/>
        <w:spacing w:lineRule="auto" w:line="288" w:before="0" w:after="240"/>
        <w:ind w:left="0" w:right="0" w:hanging="360"/>
        <w:jc w:val="both"/>
        <w:rPr/>
      </w:pPr>
      <w:r>
        <w:rPr>
          <w:color w:val="000000"/>
        </w:rPr>
        <w:t>•</w:t>
      </w:r>
      <w:r>
        <w:rPr>
          <w:rFonts w:ascii="Times New Roman;sans-serif" w:hAnsi="Times New Roman;sans-serif"/>
          <w:b/>
          <w:i/>
          <w:color w:val="000000"/>
          <w:sz w:val="20"/>
        </w:rPr>
        <w:t xml:space="preserve">Impact of acquisitions. </w:t>
      </w:r>
      <w:r>
        <w:rPr>
          <w:rFonts w:ascii="Times New Roman;sans-serif" w:hAnsi="Times New Roman;sans-serif"/>
          <w:b w:val="false"/>
          <w:color w:val="000000"/>
          <w:sz w:val="20"/>
        </w:rPr>
        <w:t>We have acquired multiple companies over the last few years, including Medicity in June 2018, Able Health in February 2020, Healthfinch in July 2020, Vitalware in September 2020, Twistle in July 2021, KPI Ninja in February 2022, ARMUS in April 2022, ERS in October 2023, Carevive in May 2024, and Lumeon in August 2024. The historical and go-forward revenue growth profiles of these businesses may vary from our core DOS Subscription Clients, which can positively or negatively impact our overall growth rate. For example, Medicity clients have generated a lower dollar-based retention rate than DOS Subscription Clients and we expect declining revenue from Medicity clients in the foreseeable future. As we integrate the teams acquired via our recent acquisitions, we have also incurred integration-related costs and duplicative costs that could impact our operating cost profile in the near term.</w:t>
      </w:r>
    </w:p>
    <w:p>
      <w:pPr>
        <w:pStyle w:val="TextBody"/>
        <w:bidi w:val="0"/>
        <w:spacing w:lineRule="auto" w:line="288" w:before="180" w:after="240"/>
        <w:ind w:left="0" w:right="0" w:hanging="360"/>
        <w:jc w:val="both"/>
        <w:rPr/>
      </w:pPr>
      <w:r>
        <w:rPr>
          <w:color w:val="000000"/>
        </w:rPr>
        <w:t>•</w:t>
      </w:r>
      <w:r>
        <w:rPr>
          <w:rFonts w:ascii="Times New Roman;sans-serif" w:hAnsi="Times New Roman;sans-serif"/>
          <w:b/>
          <w:i/>
          <w:color w:val="000000"/>
          <w:sz w:val="20"/>
        </w:rPr>
        <w:t>Changing revenue mix</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Our technology and professional services offerings have materially different gross margin profiles. While our professional services offerings help our clients achieve measurable improvements and make them stickier, they have lower gross margins than our technology revenue. For the six months ended June 30, 2024, our technology revenue and professional services revenue represented 63% and 37% of total revenue, respectively. Changes in our percentage of revenue attributable to Technology and Professional Services would impact future gross margin and Adjusted Gross Margin.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50545"/>
                <wp:effectExtent l="0" t="0" r="0" b="0"/>
                <wp:wrapNone/>
                <wp:docPr id="52" name="Frame5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changes within the types of professional services we offer over time can have a material impact on our professional services margin and Adjusted Professional Services Gross Margin, impacting our future gross margin and Total Adjusted Gross Margin. See the section titled “Key Financial Metrics – Reconciliation of Non-GAAP Financial Measures” above for more information.</w:t>
      </w:r>
    </w:p>
    <w:p>
      <w:pPr>
        <w:pStyle w:val="TextBody"/>
        <w:bidi w:val="0"/>
        <w:spacing w:lineRule="auto" w:line="288" w:before="180" w:after="240"/>
        <w:ind w:left="0" w:right="0" w:hanging="360"/>
        <w:jc w:val="both"/>
        <w:rPr/>
      </w:pPr>
      <w:r>
        <w:rPr>
          <w:color w:val="000000"/>
        </w:rPr>
        <w:t>•</w:t>
      </w:r>
      <w:r>
        <w:rPr>
          <w:rFonts w:ascii="Times New Roman;sans-serif" w:hAnsi="Times New Roman;sans-serif"/>
          <w:b/>
          <w:i/>
          <w:color w:val="000000"/>
          <w:sz w:val="20"/>
        </w:rPr>
        <w:t xml:space="preserve">Transitions to Microsoft Azure and migration to Health Catalyst Ignite. </w:t>
      </w:r>
      <w:r>
        <w:rPr>
          <w:rFonts w:ascii="Times New Roman;sans-serif" w:hAnsi="Times New Roman;sans-serif"/>
          <w:b w:val="false"/>
          <w:color w:val="000000"/>
          <w:sz w:val="20"/>
        </w:rPr>
        <w:t>We incur hosting fees related to providing DOS through a cloud-based environment hosted by Microsoft Azure. We maintain a small number of clients that have deployed DOS on-premise. We are in the process of migrating clients who deployed DOS on-premise to Azure-hosted environments. The Azure cloud provides clients with more advanced DOS product functionality and a more seamless client experience; however, hosting clients in Azure is more costly than on-premise deployments on a per-client basis. We have also started migrating certain clients to Health Catalyst Ignite. These transitions have and will continue to result in higher cost of technology revenue and a reduced Adjusted Technology Gross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Recent Acquisitions</w:t>
      </w:r>
    </w:p>
    <w:p>
      <w:pPr>
        <w:pStyle w:val="TextBody"/>
        <w:bidi w:val="0"/>
        <w:spacing w:lineRule="auto" w:line="276"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Lumeon Acquisition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2024, we acquired Lumeon Ltd. (Lumeon), a digital health company dedicated to helping provider organizations mend broken care coordination processes through automated care orchestration, for preliminary consideration of approximately $37.5 million in cash and $2.5 million of our common stock, plus a potential recurring revenue-based earn-out of up to $25 million that, if achieved, would be paid solely in cash. Given the recent timing of the closing of this business combination, we are in the process of identifying and measuring the value of the assets acquired and liabilities assumed. We plan to disclose the preliminary purchase price allocation estimates and other related information in our Quarterly Report on Form 10-Q for the quarter ending September 30, 2024.</w:t>
      </w:r>
    </w:p>
    <w:p>
      <w:pPr>
        <w:pStyle w:val="TextBody"/>
        <w:bidi w:val="0"/>
        <w:spacing w:lineRule="auto" w:line="288" w:before="0" w:after="24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Carevive Acquisition</w:t>
      </w:r>
    </w:p>
    <w:p>
      <w:pPr>
        <w:pStyle w:val="TextBody"/>
        <w:bidi w:val="0"/>
        <w:spacing w:lineRule="auto" w:line="288" w:before="180" w:after="180"/>
        <w:ind w:left="0" w:right="0" w:firstLine="360"/>
        <w:jc w:val="both"/>
        <w:rPr/>
      </w:pPr>
      <w:r>
        <w:rPr>
          <w:rFonts w:ascii="Times New Roman;sans-serif" w:hAnsi="Times New Roman;sans-serif"/>
          <w:b w:val="false"/>
          <w:color w:val="000000"/>
          <w:sz w:val="20"/>
        </w:rPr>
        <w:t xml:space="preserve">On May 24, 2024, we acquired Carevive Systems, Inc. (Carevive), a leading oncology-focused health technology company centered on understanding and improving the experience of patients with cancer. </w:t>
      </w:r>
      <w:r>
        <w:rPr>
          <w:rFonts w:ascii="Times New Roman;sans-serif" w:hAnsi="Times New Roman;sans-serif"/>
          <w:b w:val="false"/>
          <w:color w:val="000000"/>
          <w:sz w:val="20"/>
          <w:shd w:fill="FFFFFF" w:val="clear"/>
        </w:rPr>
        <w:t xml:space="preserve">We accounted for the acquisition of Carevive as a business combination. Oncology providers and life science researchers use Carevive’s flagship platform and/or Carevive data in routine clinical practice for treatment care planning, clinical trial screening, care coordination, remote patient monitoring, and/or post-treatment care. The acquisition consideration transferred was </w:t>
      </w:r>
      <w:r>
        <w:rPr>
          <w:rFonts w:ascii="Times New Roman;sans-serif" w:hAnsi="Times New Roman;sans-serif"/>
          <w:b w:val="false"/>
          <w:color w:val="000000"/>
          <w:sz w:val="20"/>
        </w:rPr>
        <w:t>$22.1 million</w:t>
      </w:r>
      <w:r>
        <w:rPr>
          <w:color w:val="000000"/>
          <w:shd w:fill="FFFFFF" w:val="clear"/>
        </w:rPr>
        <w:t xml:space="preserve"> </w:t>
      </w:r>
      <w:r>
        <w:rPr>
          <w:rFonts w:ascii="Times New Roman;sans-serif" w:hAnsi="Times New Roman;sans-serif"/>
          <w:b w:val="false"/>
          <w:color w:val="000000"/>
          <w:sz w:val="20"/>
          <w:shd w:fill="FFFFFF" w:val="clear"/>
        </w:rPr>
        <w:t>and was comprised of</w:t>
      </w:r>
      <w:r>
        <w:rPr>
          <w:color w:val="000000"/>
        </w:rPr>
        <w:t xml:space="preserve"> </w:t>
      </w:r>
      <w:r>
        <w:rPr>
          <w:rFonts w:ascii="Times New Roman;sans-serif" w:hAnsi="Times New Roman;sans-serif"/>
          <w:b w:val="false"/>
          <w:color w:val="000000"/>
          <w:sz w:val="20"/>
        </w:rPr>
        <w:t xml:space="preserve">net cash consideration of $18.6 million, shares of our common stock with a fair value of $2.6 million, and contingent consideration based on certain earn-out performance targets for Carevive during an earn-out period ending on June 30, 2025, with an initial fair value of $0.9 million. The purchase resulted in us acquiring 100% ownership in Carevive. </w:t>
      </w:r>
    </w:p>
    <w:p>
      <w:pPr>
        <w:pStyle w:val="TextBody"/>
        <w:bidi w:val="0"/>
        <w:spacing w:lineRule="auto" w:line="288" w:before="18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ERS Corporation Acquisition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 2023, we acquired Electronic Registry Systems, Inc. (ERS), a cloud-based provider of clinical registry development and data management software focused on oncology with advanced data analytics expertise, for preliminary consideration of approximately $11.5 million in cash and 175,901 shares of our common stock that was originally subject to revesting over a period of 18 months.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derive our revenue from sales of technology and professional services. For the three months ended June 30, 2024 and 2023, technology revenue represented 63% and 65% of total revenue, respectively, and professional services represented 37% and 35% of total revenue, respectively. For the six months ended June 30, 2024 and 2023, technology revenue represented 63% and 64% of total revenue, respectively, and professional services represented 37% and 36% of total revenue,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50545"/>
                <wp:effectExtent l="0" t="0" r="0" b="0"/>
                <wp:wrapNone/>
                <wp:docPr id="53" name="Frame5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Technology revenue.</w:t>
      </w:r>
      <w:r>
        <w:rPr>
          <w:color w:val="000000"/>
        </w:rPr>
        <w:t>    </w:t>
      </w:r>
      <w:r>
        <w:rPr>
          <w:rFonts w:ascii="Times New Roman;sans-serif" w:hAnsi="Times New Roman;sans-serif"/>
          <w:b w:val="false"/>
          <w:color w:val="000000"/>
          <w:sz w:val="20"/>
        </w:rPr>
        <w:t>Technology revenue primarily consists of subscription fees charged to clients for access to use our data platform and analytics applications. We provide clients access to our technology through either an all-access or limited-access, modular subscription. Most of our subscription contracts are cloud-based and generally have a three- or five-year term, of which many are terminable after one year upon 90 days’ notice. The majority of our DOS subscription contracts have built-in annual escalators for technology access fees. Also included in technology revenue is the maintenance and support we provide, which generally includes updates and support services.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Professional services revenue.</w:t>
      </w:r>
      <w:r>
        <w:rPr>
          <w:color w:val="000000"/>
        </w:rPr>
        <w:t>    </w:t>
      </w:r>
      <w:r>
        <w:rPr>
          <w:rFonts w:ascii="Times New Roman;sans-serif" w:hAnsi="Times New Roman;sans-serif"/>
          <w:b w:val="false"/>
          <w:color w:val="000000"/>
          <w:sz w:val="20"/>
        </w:rPr>
        <w:t xml:space="preserve">Professional services revenue primarily includes analytics services, domain expertise services, Tech-enabled Managed Services, and implementation services. Professional services arrangements typically include a fee for making FTE services available to our clients on a monthly basis. FTE services generally consist of a blend of analytic engineers, analysts, and data scientists based on the domain expertise needed to best serve our clients.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a revenue mix perspective, we anticipate that full-year 2024 professional services year-over-year revenue growth will slightly outpace technology year-over-year growth, driven by the heavier weighting of our Tech-enabled Managed Services bookings in the second half of 2022 and 2023, as well as the anticipated elevated churn levels, primarily for offerings that do not provide a near-term measurable financial ROI, such as some of our clinically-focused technology offerings and our traditional consulting professional services.</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consists of client billings in advance of revenue being recognized from our technology and professional services arrangements. We primarily invoice our clients for technology arrangements annually or quarterly in advance. Amounts anticipated to be recognized within one year of the balance sheet date are recorded as deferred revenue and the remaining portion is recorded as deferred revenue, net of current portion on our condensed consolidated balance sheets.</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Cost of revenue, excluding depreciation and amortization</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Cost of technology revenue.</w:t>
      </w:r>
      <w:r>
        <w:rPr>
          <w:color w:val="000000"/>
        </w:rPr>
        <w:t>    </w:t>
      </w:r>
      <w:r>
        <w:rPr>
          <w:rFonts w:ascii="Times New Roman;sans-serif" w:hAnsi="Times New Roman;sans-serif"/>
          <w:b w:val="false"/>
          <w:color w:val="000000"/>
          <w:sz w:val="20"/>
        </w:rPr>
        <w:t>Cost of technology revenue primarily consists of costs associated with hosting and supporting our technology, including third-party cloud computing and hosting costs, license and revenue share fees, contractor costs, and salary and related personnel costs for our cloud services and support teams.</w:t>
      </w:r>
    </w:p>
    <w:p>
      <w:pPr>
        <w:pStyle w:val="TextBody"/>
        <w:bidi w:val="0"/>
        <w:spacing w:lineRule="auto" w:line="288" w:before="240" w:after="180"/>
        <w:ind w:left="0" w:right="0" w:firstLine="360"/>
        <w:jc w:val="both"/>
        <w:rPr/>
      </w:pPr>
      <w:r>
        <w:rPr>
          <w:rFonts w:ascii="Times New Roman;sans-serif" w:hAnsi="Times New Roman;sans-serif"/>
          <w:b w:val="false"/>
          <w:color w:val="000000"/>
          <w:sz w:val="20"/>
        </w:rPr>
        <w:t>Although we expect cost of technology revenue to increase in absolute dollars as we increase headcount, cloud computing, and hosting costs to accommodate growth, and as we continue to transition clients to third-party hosted data centers with Microsoft Azure and migrate clients to Health Catalyst Ignite, our next generation data platform, we anticipate cost of technology revenue as a percentage of technology revenue will generally decrease over the long term.</w:t>
      </w:r>
      <w:r>
        <w:rPr>
          <w:color w:val="000000"/>
        </w:rPr>
        <w:t xml:space="preserve"> </w:t>
      </w:r>
      <w:r>
        <w:rPr>
          <w:rFonts w:ascii="Times New Roman;sans-serif" w:hAnsi="Times New Roman;sans-serif"/>
          <w:b w:val="false"/>
          <w:color w:val="000000"/>
          <w:sz w:val="20"/>
        </w:rPr>
        <w:t>We expect cost of technology revenue as a percentage of technology revenue to fluctuate and potentially increase in the near term, primarily due to additional costs associated with transitioning a small number of clients from on-premise deployments to Microsoft Azure-hosted environments and migrating clients to Health Catalyst Ignite, our next generation data platform.</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Cost of professional services revenue.</w:t>
      </w:r>
      <w:r>
        <w:rPr>
          <w:color w:val="000000"/>
        </w:rPr>
        <w:t>   </w:t>
      </w:r>
      <w:r>
        <w:rPr>
          <w:rFonts w:ascii="Times New Roman;sans-serif" w:hAnsi="Times New Roman;sans-serif"/>
          <w:b w:val="false"/>
          <w:color w:val="000000"/>
          <w:sz w:val="20"/>
        </w:rPr>
        <w:t>Cost of professional services revenue consists primarily of costs related to delivering our team’s expertise in analytics, strategic advisory, improvement, and implementation services. These costs primarily include salary and related personnel costs, travel-related costs, and outside contractor costs. We expect the 2023 Restructuring Plan to reduce future, ongoing cost of professional services revenue. We further expect that the future savings from the reduced headcount will be offset by continued growth in our professional services, including TEMS.</w:t>
      </w:r>
    </w:p>
    <w:p>
      <w:pPr>
        <w:pStyle w:val="TextBody"/>
        <w:bidi w:val="0"/>
        <w:spacing w:before="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50545"/>
                <wp:effectExtent l="0" t="0" r="0" b="0"/>
                <wp:wrapNone/>
                <wp:docPr id="54" name="Frame5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Operating expense</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Sales and marketing expenses primarily include salary and related personnel costs for our sales, marketing, and account management teams, lead generation, marketing events, including our HAS, marketing programs, and outside contractor costs associated with the sale and marketing of our offerings. We plan to continue to invest in sales and marketing to grow our client base, expand in new markets, and increase our brand awareness. The trend and timing of sales and marketing expenses will depend in part on the timing of our expansion into new markets and marketing campaigns. Our sales and marketing expenses may fluctuate as a percentage of our revenue from period to period due to the timing and extent of these expenses.</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 xml:space="preserve">Research and development. </w:t>
      </w:r>
      <w:r>
        <w:rPr>
          <w:rFonts w:ascii="Times New Roman;sans-serif" w:hAnsi="Times New Roman;sans-serif"/>
          <w:b w:val="false"/>
          <w:color w:val="000000"/>
          <w:sz w:val="20"/>
        </w:rPr>
        <w:t>Research and development expenses primarily include salary and related personnel costs for our data platform and analytics applications teams, subscriptions, and outside contractor costs associated with the development of products. We have developed an open, flexible, and scalable data platform. We plan to continue to invest in research and development to develop new solutions and enhance our applications library. The 2023 Restructuring Plan increased our research and development expenses in the first quarter of 2024 due to severance costs, but we expect that the reduction in headcount will reduce future, ongoing research and development expenses. Our research and development expenses may fluctuate as a percentage of our revenue from period to period due to the nature, timing, and extent of these expenses.</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General and administrative expenses primarily include salary and related personnel costs for our legal, finance, people operations, IT, and other administrative teams, including certain executives. General and administrative expenses also include facilities, subscriptions, corporate insurance, accounting, directors’ fees, litigation costs, and the change in fair value of contingent consideration liabilities. Our general and administrative expenses may fluctuate as a percentage of our revenue from period to period due to the timing and extent of these expenses.</w:t>
      </w:r>
    </w:p>
    <w:p>
      <w:pPr>
        <w:pStyle w:val="TextBody"/>
        <w:bidi w:val="0"/>
        <w:spacing w:lineRule="auto" w:line="288" w:before="0" w:after="180"/>
        <w:ind w:left="0" w:right="0" w:firstLine="360"/>
        <w:jc w:val="both"/>
        <w:rPr/>
      </w:pP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Depreciation and amortization expenses are primarily attributable to our capital investment and consist of fixed asset depreciation, amortization of intangibles considered to have definite lives, and amortization of capitalized internal-use software costs.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and other income (expense), net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 primarily consists of income from our investment holdings partially offset by interest expense. Interest expense is primarily attributable to the Notes. It also includes the amortization of discounts on debt and amortization of deferred financing costs related to our debt arrangements.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Income tax provision (benefit)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 consists of U.S. federal, state, and foreign income taxes. Because of the uncertainty of the realization of the deferred tax assets, we have a full valuation allowance for our net deferred tax assets, including net operating loss carryforwards (NOLs) and tax credits related primarily to research and development.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federal and state NOLs of $602.6 million and $505.5 million, respectively, which will begin to expire for federal and state tax purposes in 2032 and 2023, respectively. Our existing NOLs may be subject to limitations arising from ownership changes and, if we undergo an ownership change in the future, our ability to utilize our NOLs and tax credits could be further limited by Sections 382 and 383 of the Internal Revenue Code of 1986, as amended (the Code). Future changes in our stock ownership, many of which are outside of our control, could result in an ownership change under Sections 382 and 383 of the Code. Our NOLs and tax credits may also be limited under similar provisions of state law.</w:t>
      </w:r>
    </w:p>
    <w:p>
      <w:pPr>
        <w:pStyle w:val="TextBody"/>
        <w:bidi w:val="0"/>
        <w:spacing w:lineRule="auto" w:line="288" w:before="240" w:after="3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of 2022 (IRA) was enacted and signed into U.S. law. The IRA includes provisions imposing a 1% excise tax on share repurchases in excess of the fair value of stock issuances, including compensatory stock issuances, that occur after December 31, 2022 and introduces a 15% corporate alternative minimum tax on adjusted financial statement income. We do not expect the tax provisions of the IRA to have a material impact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50545"/>
                <wp:effectExtent l="0" t="0" r="0" b="0"/>
                <wp:wrapNone/>
                <wp:docPr id="55" name="Frame5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condensed consolidated results of operations data and such data as a percentage of total revenue for each of the periods indicated:</w:t>
      </w:r>
    </w:p>
    <w:tbl>
      <w:tblPr>
        <w:tblW w:w="10205" w:type="dxa"/>
        <w:jc w:val="left"/>
        <w:tblInd w:w="0" w:type="dxa"/>
        <w:tblLayout w:type="fixed"/>
        <w:tblCellMar>
          <w:top w:w="28" w:type="dxa"/>
          <w:left w:w="28" w:type="dxa"/>
          <w:bottom w:w="28" w:type="dxa"/>
          <w:right w:w="28" w:type="dxa"/>
        </w:tblCellMar>
      </w:tblPr>
      <w:tblGrid>
        <w:gridCol w:w="1759"/>
        <w:gridCol w:w="1503"/>
        <w:gridCol w:w="1514"/>
        <w:gridCol w:w="211"/>
        <w:gridCol w:w="780"/>
        <w:gridCol w:w="109"/>
        <w:gridCol w:w="109"/>
        <w:gridCol w:w="109"/>
        <w:gridCol w:w="109"/>
        <w:gridCol w:w="211"/>
        <w:gridCol w:w="780"/>
        <w:gridCol w:w="109"/>
        <w:gridCol w:w="109"/>
        <w:gridCol w:w="109"/>
        <w:gridCol w:w="109"/>
        <w:gridCol w:w="211"/>
        <w:gridCol w:w="780"/>
        <w:gridCol w:w="109"/>
        <w:gridCol w:w="109"/>
        <w:gridCol w:w="109"/>
        <w:gridCol w:w="109"/>
        <w:gridCol w:w="211"/>
        <w:gridCol w:w="780"/>
        <w:gridCol w:w="157"/>
      </w:tblGrid>
      <w:tr>
        <w:trPr/>
        <w:tc>
          <w:tcPr>
            <w:tcW w:w="175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147,081 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 shown below:</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Technology</w:t>
            </w:r>
            <w:r>
              <w:rPr>
                <w:rFonts w:ascii="Times New Roman;sans-serif" w:hAnsi="Times New Roman;sans-serif"/>
                <w:b w:val="false"/>
                <w:color w:val="000000"/>
                <w:sz w:val="10"/>
              </w:rPr>
              <w:t>(1)(2)(3)</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Professional services</w:t>
            </w:r>
            <w:r>
              <w:rPr>
                <w:rFonts w:ascii="Times New Roman;sans-serif" w:hAnsi="Times New Roman;sans-serif"/>
                <w:b w:val="false"/>
                <w:color w:val="000000"/>
                <w:sz w:val="10"/>
              </w:rPr>
              <w:t>(1)(2)(3)</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 excluding depreciation and amortization</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0"/>
              </w:rPr>
              <w:t>(1)(2)(3)</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0"/>
              </w:rPr>
              <w:t>(1)(2)(3)</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0"/>
              </w:rPr>
              <w:t>(1)(2)(3)(4)(5)</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138,871 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(65,803)</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stock-based compensation expense, as follows:</w:t>
      </w:r>
    </w:p>
    <w:tbl>
      <w:tblPr>
        <w:tblW w:w="9017" w:type="dxa"/>
        <w:jc w:val="left"/>
        <w:tblInd w:w="0" w:type="dxa"/>
        <w:tblLayout w:type="fixed"/>
        <w:tblCellMar>
          <w:top w:w="28" w:type="dxa"/>
          <w:left w:w="28" w:type="dxa"/>
          <w:bottom w:w="28" w:type="dxa"/>
          <w:right w:w="28" w:type="dxa"/>
        </w:tblCellMar>
      </w:tblPr>
      <w:tblGrid>
        <w:gridCol w:w="1506"/>
        <w:gridCol w:w="1322"/>
        <w:gridCol w:w="1326"/>
        <w:gridCol w:w="207"/>
        <w:gridCol w:w="589"/>
        <w:gridCol w:w="115"/>
        <w:gridCol w:w="115"/>
        <w:gridCol w:w="115"/>
        <w:gridCol w:w="115"/>
        <w:gridCol w:w="207"/>
        <w:gridCol w:w="684"/>
        <w:gridCol w:w="115"/>
        <w:gridCol w:w="109"/>
        <w:gridCol w:w="109"/>
        <w:gridCol w:w="109"/>
        <w:gridCol w:w="196"/>
        <w:gridCol w:w="646"/>
        <w:gridCol w:w="109"/>
        <w:gridCol w:w="109"/>
        <w:gridCol w:w="109"/>
        <w:gridCol w:w="109"/>
        <w:gridCol w:w="196"/>
        <w:gridCol w:w="646"/>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Stock-Based Compensation Expense:</w:t>
            </w:r>
          </w:p>
        </w:tc>
        <w:tc>
          <w:tcPr>
            <w:tcW w:w="22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 excluding depreciation and amortization:</w:t>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Technology</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services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14,629 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both"/>
        <w:rPr/>
      </w:pPr>
      <w:r>
        <w:rPr/>
      </w:r>
    </w:p>
    <w:p>
      <w:pPr>
        <w:pStyle w:val="TextBody"/>
        <w:bidi w:val="0"/>
        <w:spacing w:before="0" w:after="240"/>
        <w:ind w:left="0" w:right="0" w:firstLine="360"/>
        <w:jc w:val="both"/>
        <w:rPr/>
      </w:pPr>
      <w:r>
        <w:rPr/>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50545"/>
                <wp:effectExtent l="0" t="0" r="0" b="0"/>
                <wp:wrapNone/>
                <wp:docPr id="56" name="Frame5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(2)Includes acquisition-related costs (benefit), net, as follows:</w:t>
      </w:r>
    </w:p>
    <w:tbl>
      <w:tblPr>
        <w:tblW w:w="8857" w:type="dxa"/>
        <w:jc w:val="left"/>
        <w:tblInd w:w="0" w:type="dxa"/>
        <w:tblLayout w:type="fixed"/>
        <w:tblCellMar>
          <w:top w:w="28" w:type="dxa"/>
          <w:left w:w="28" w:type="dxa"/>
          <w:bottom w:w="28" w:type="dxa"/>
          <w:right w:w="28" w:type="dxa"/>
        </w:tblCellMar>
      </w:tblPr>
      <w:tblGrid>
        <w:gridCol w:w="1506"/>
        <w:gridCol w:w="1323"/>
        <w:gridCol w:w="1326"/>
        <w:gridCol w:w="232"/>
        <w:gridCol w:w="658"/>
        <w:gridCol w:w="129"/>
        <w:gridCol w:w="129"/>
        <w:gridCol w:w="129"/>
        <w:gridCol w:w="129"/>
        <w:gridCol w:w="232"/>
        <w:gridCol w:w="498"/>
        <w:gridCol w:w="129"/>
        <w:gridCol w:w="109"/>
        <w:gridCol w:w="109"/>
        <w:gridCol w:w="109"/>
        <w:gridCol w:w="211"/>
        <w:gridCol w:w="600"/>
        <w:gridCol w:w="117"/>
        <w:gridCol w:w="117"/>
        <w:gridCol w:w="117"/>
        <w:gridCol w:w="117"/>
        <w:gridCol w:w="211"/>
        <w:gridCol w:w="454"/>
        <w:gridCol w:w="166"/>
      </w:tblGrid>
      <w:tr>
        <w:trPr/>
        <w:tc>
          <w:tcPr>
            <w:tcW w:w="150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Acquisition-related costs (benefit), net:</w:t>
            </w:r>
          </w:p>
        </w:tc>
        <w:tc>
          <w:tcPr>
            <w:tcW w:w="2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 excluding depreciation and amortization:</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Technology</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services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(3)Includes restructuring costs, as follows:</w:t>
      </w:r>
    </w:p>
    <w:tbl>
      <w:tblPr>
        <w:tblW w:w="8858" w:type="dxa"/>
        <w:jc w:val="left"/>
        <w:tblInd w:w="0" w:type="dxa"/>
        <w:tblLayout w:type="fixed"/>
        <w:tblCellMar>
          <w:top w:w="28" w:type="dxa"/>
          <w:left w:w="28" w:type="dxa"/>
          <w:bottom w:w="28" w:type="dxa"/>
          <w:right w:w="28" w:type="dxa"/>
        </w:tblCellMar>
      </w:tblPr>
      <w:tblGrid>
        <w:gridCol w:w="1506"/>
        <w:gridCol w:w="1322"/>
        <w:gridCol w:w="1327"/>
        <w:gridCol w:w="251"/>
        <w:gridCol w:w="540"/>
        <w:gridCol w:w="140"/>
        <w:gridCol w:w="140"/>
        <w:gridCol w:w="140"/>
        <w:gridCol w:w="140"/>
        <w:gridCol w:w="251"/>
        <w:gridCol w:w="521"/>
        <w:gridCol w:w="140"/>
        <w:gridCol w:w="109"/>
        <w:gridCol w:w="109"/>
        <w:gridCol w:w="109"/>
        <w:gridCol w:w="198"/>
        <w:gridCol w:w="561"/>
        <w:gridCol w:w="110"/>
        <w:gridCol w:w="110"/>
        <w:gridCol w:w="110"/>
        <w:gridCol w:w="110"/>
        <w:gridCol w:w="198"/>
        <w:gridCol w:w="561"/>
        <w:gridCol w:w="155"/>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Restructuring costs:</w:t>
            </w:r>
          </w:p>
        </w:tc>
        <w:tc>
          <w:tcPr>
            <w:tcW w:w="22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 excluding depreciation and amortization:</w:t>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Technology</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services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(4)Includes litigation costs, as follows:</w:t>
      </w:r>
    </w:p>
    <w:tbl>
      <w:tblPr>
        <w:tblW w:w="6239" w:type="dxa"/>
        <w:jc w:val="left"/>
        <w:tblInd w:w="0" w:type="dxa"/>
        <w:tblLayout w:type="fixed"/>
        <w:tblCellMar>
          <w:top w:w="28" w:type="dxa"/>
          <w:left w:w="28" w:type="dxa"/>
          <w:bottom w:w="28" w:type="dxa"/>
          <w:right w:w="28" w:type="dxa"/>
        </w:tblCellMar>
      </w:tblPr>
      <w:tblGrid>
        <w:gridCol w:w="715"/>
        <w:gridCol w:w="629"/>
        <w:gridCol w:w="635"/>
        <w:gridCol w:w="196"/>
        <w:gridCol w:w="406"/>
        <w:gridCol w:w="109"/>
        <w:gridCol w:w="109"/>
        <w:gridCol w:w="109"/>
        <w:gridCol w:w="109"/>
        <w:gridCol w:w="196"/>
        <w:gridCol w:w="556"/>
        <w:gridCol w:w="109"/>
        <w:gridCol w:w="109"/>
        <w:gridCol w:w="109"/>
        <w:gridCol w:w="109"/>
        <w:gridCol w:w="196"/>
        <w:gridCol w:w="406"/>
        <w:gridCol w:w="109"/>
        <w:gridCol w:w="109"/>
        <w:gridCol w:w="109"/>
        <w:gridCol w:w="109"/>
        <w:gridCol w:w="196"/>
        <w:gridCol w:w="646"/>
        <w:gridCol w:w="154"/>
      </w:tblGrid>
      <w:tr>
        <w:trPr/>
        <w:tc>
          <w:tcPr>
            <w:tcW w:w="7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June 30,</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Litigation costs:</w:t>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w:t>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(5)Includes non-recurring lease-related charges, as follows:</w:t>
      </w:r>
    </w:p>
    <w:tbl>
      <w:tblPr>
        <w:tblW w:w="6629" w:type="dxa"/>
        <w:jc w:val="left"/>
        <w:tblInd w:w="0" w:type="dxa"/>
        <w:tblLayout w:type="fixed"/>
        <w:tblCellMar>
          <w:top w:w="28" w:type="dxa"/>
          <w:left w:w="28" w:type="dxa"/>
          <w:bottom w:w="28" w:type="dxa"/>
          <w:right w:w="28" w:type="dxa"/>
        </w:tblCellMar>
      </w:tblPr>
      <w:tblGrid>
        <w:gridCol w:w="835"/>
        <w:gridCol w:w="736"/>
        <w:gridCol w:w="738"/>
        <w:gridCol w:w="196"/>
        <w:gridCol w:w="40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Non-recurring lease-related charges:</w:t>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50545"/>
                <wp:effectExtent l="0" t="0" r="0" b="0"/>
                <wp:wrapNone/>
                <wp:docPr id="57" name="Frame5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15"/>
        <w:gridCol w:w="1663"/>
        <w:gridCol w:w="1675"/>
        <w:gridCol w:w="243"/>
        <w:gridCol w:w="223"/>
        <w:gridCol w:w="439"/>
        <w:gridCol w:w="176"/>
        <w:gridCol w:w="176"/>
        <w:gridCol w:w="176"/>
        <w:gridCol w:w="243"/>
        <w:gridCol w:w="223"/>
        <w:gridCol w:w="439"/>
        <w:gridCol w:w="109"/>
        <w:gridCol w:w="109"/>
        <w:gridCol w:w="109"/>
        <w:gridCol w:w="232"/>
        <w:gridCol w:w="234"/>
        <w:gridCol w:w="400"/>
        <w:gridCol w:w="160"/>
        <w:gridCol w:w="160"/>
        <w:gridCol w:w="160"/>
        <w:gridCol w:w="232"/>
        <w:gridCol w:w="234"/>
        <w:gridCol w:w="475"/>
      </w:tblGrid>
      <w:tr>
        <w:trPr/>
        <w:tc>
          <w:tcPr>
            <w:tcW w:w="191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5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 shown below:</w:t>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 excluding depreciation and amortization</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Discussion of the Three Months Ended June 30, 2024 and 2023 </w:t>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Revenue</w:t>
      </w:r>
    </w:p>
    <w:tbl>
      <w:tblPr>
        <w:tblW w:w="7203" w:type="dxa"/>
        <w:jc w:val="left"/>
        <w:tblInd w:w="0" w:type="dxa"/>
        <w:tblLayout w:type="fixed"/>
        <w:tblCellMar>
          <w:top w:w="28" w:type="dxa"/>
          <w:left w:w="28" w:type="dxa"/>
          <w:bottom w:w="28" w:type="dxa"/>
          <w:right w:w="28" w:type="dxa"/>
        </w:tblCellMar>
      </w:tblPr>
      <w:tblGrid>
        <w:gridCol w:w="709"/>
        <w:gridCol w:w="625"/>
        <w:gridCol w:w="630"/>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7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was $75.9 million for the three months ended June 30, 2024, compared to $73.2 million for the three months ended June 30, 2023, an increase of $2.7 million, or 4%. </w:t>
      </w:r>
    </w:p>
    <w:p>
      <w:pPr>
        <w:pStyle w:val="TextBody"/>
        <w:bidi w:val="0"/>
        <w:spacing w:before="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605" cy="14605"/>
                <wp:effectExtent l="0" t="0" r="0" b="0"/>
                <wp:wrapNone/>
                <wp:docPr id="58" name="Frame5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revenue was $47.6 million, or 63% of total revenue, for the three months ended June 30, 2024, compared to $47.3 million, or 65% of total revenue, for the three months ended June 30, 2023. The slight technology revenue increase was primarily from growth from new Platform Subscription Clients, revenue from existing clients paying higher technology access fees from contractual, annual escalators, and new offerings of expanded support services, partially offset by elevated churn levels.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 revenue was $28.3 million, or 37% of total revenue, for the three months ended June 30, 2024, compared to $25.9 million, or 35% of total revenue, for the three months ended June 30, 2023. The professional services revenue growth is primarily due to implementation, analytics, and other improvement services being provided to Platform Subscription Clients, which includes Tech-enabled Managed Services.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Cost of revenue, excluding depreciation and amortization</w:t>
      </w:r>
    </w:p>
    <w:tbl>
      <w:tblPr>
        <w:tblW w:w="10205" w:type="dxa"/>
        <w:jc w:val="left"/>
        <w:tblInd w:w="0" w:type="dxa"/>
        <w:tblLayout w:type="fixed"/>
        <w:tblCellMar>
          <w:top w:w="28" w:type="dxa"/>
          <w:left w:w="28" w:type="dxa"/>
          <w:bottom w:w="28" w:type="dxa"/>
          <w:right w:w="28" w:type="dxa"/>
        </w:tblCellMar>
      </w:tblPr>
      <w:tblGrid>
        <w:gridCol w:w="1850"/>
        <w:gridCol w:w="1625"/>
        <w:gridCol w:w="1630"/>
        <w:gridCol w:w="211"/>
        <w:gridCol w:w="721"/>
        <w:gridCol w:w="271"/>
        <w:gridCol w:w="109"/>
        <w:gridCol w:w="109"/>
        <w:gridCol w:w="109"/>
        <w:gridCol w:w="211"/>
        <w:gridCol w:w="721"/>
        <w:gridCol w:w="271"/>
        <w:gridCol w:w="109"/>
        <w:gridCol w:w="109"/>
        <w:gridCol w:w="109"/>
        <w:gridCol w:w="213"/>
        <w:gridCol w:w="471"/>
        <w:gridCol w:w="112"/>
        <w:gridCol w:w="109"/>
        <w:gridCol w:w="109"/>
        <w:gridCol w:w="109"/>
        <w:gridCol w:w="186"/>
        <w:gridCol w:w="186"/>
        <w:gridCol w:w="545"/>
      </w:tblGrid>
      <w:tr>
        <w:trPr/>
        <w:tc>
          <w:tcPr>
            <w:tcW w:w="185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5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 excluding depreciation and amortization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technology revenue, excluding depreciation and amortization, was $16.1 million for the three months ended June 30, 2024, compared to $15.9 million for the three months ended June 30, 2023, an increase of $0.2 million, or 1%. The increase was primarily due to a $1.0 million increase in cloud computing and hosting costs largely from the expanded use of Microsoft Azure to serve existing and new clients, partially offset by a $0.6 million decrease in license and revenue share fees and a $0.2 million decrease in salary and related personnel costs, including stock-based compensation.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revenue was $24.0 million for the three months ended June 30, 2024, compared to $23.6 million for the three months ended June 30, 2023, an increase of $0.4 million, or 2%. This increase was primarily due to a $1.8 million increase in salary and related personnel cost, partially offset by a $0.7 million decrease in contractor and outside service provider fees and a $0.6 million decrease in stock-based compensation.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7702" w:type="dxa"/>
        <w:jc w:val="left"/>
        <w:tblInd w:w="0" w:type="dxa"/>
        <w:tblLayout w:type="fixed"/>
        <w:tblCellMar>
          <w:top w:w="28" w:type="dxa"/>
          <w:left w:w="28" w:type="dxa"/>
          <w:bottom w:w="28" w:type="dxa"/>
          <w:right w:w="28" w:type="dxa"/>
        </w:tblCellMar>
      </w:tblPr>
      <w:tblGrid>
        <w:gridCol w:w="840"/>
        <w:gridCol w:w="739"/>
        <w:gridCol w:w="745"/>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544"/>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were $12.7 million for the three months ended June 30, 2024, compared to $16.4 million for the three months ended June 30, 2023, a decrease of $3.7 million, or 22%. The decrease was primarily due to a $3.0 million decrease in stock-based compensation, a $0.6 million decrease in salary and related personnel costs, and a $0.2 million decrease in decrease in contractor and outside service provider fees. These decreases were partially offset by a $1.0 million increase in our provision for expected credit losses compared to the prior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50545"/>
                <wp:effectExtent l="0" t="0" r="0" b="0"/>
                <wp:wrapNone/>
                <wp:docPr id="59" name="Frame5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 as a percentage of total revenue decreased from 22% in the three months ended June 30, 2023 to 17% in the three months ended June 30, 2024. </w:t>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7703" w:type="dxa"/>
        <w:jc w:val="left"/>
        <w:tblInd w:w="0" w:type="dxa"/>
        <w:tblLayout w:type="fixed"/>
        <w:tblCellMar>
          <w:top w:w="28" w:type="dxa"/>
          <w:left w:w="28" w:type="dxa"/>
          <w:bottom w:w="28" w:type="dxa"/>
          <w:right w:w="28" w:type="dxa"/>
        </w:tblCellMar>
      </w:tblPr>
      <w:tblGrid>
        <w:gridCol w:w="843"/>
        <w:gridCol w:w="739"/>
        <w:gridCol w:w="743"/>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544"/>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$13.9 million for the three months ended June 30, 2024, compared to $17.6 million for the three months ended June 30, 2023, a decrease of $3.7 million, or 21%. The decrease was primarily due to a $1.7 million decrease in salary and related personnel costs, a $1.4 million decrease in stock-based compensation, and a $0.6 million decrease contractor and outside service provider fees.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 as a percentage of revenue decreased from 24% in the three months ended June 30, 2023 to 18% in the three months ended June 30, 2024. </w:t>
      </w:r>
    </w:p>
    <w:p>
      <w:pPr>
        <w:pStyle w:val="TextBody"/>
        <w:bidi w:val="0"/>
        <w:spacing w:lineRule="auto" w:line="288" w:before="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7703" w:type="dxa"/>
        <w:jc w:val="left"/>
        <w:tblInd w:w="0" w:type="dxa"/>
        <w:tblLayout w:type="fixed"/>
        <w:tblCellMar>
          <w:top w:w="28" w:type="dxa"/>
          <w:left w:w="28" w:type="dxa"/>
          <w:bottom w:w="28" w:type="dxa"/>
          <w:right w:w="28" w:type="dxa"/>
        </w:tblCellMar>
      </w:tblPr>
      <w:tblGrid>
        <w:gridCol w:w="843"/>
        <w:gridCol w:w="740"/>
        <w:gridCol w:w="742"/>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544"/>
      </w:tblGrid>
      <w:tr>
        <w:trPr/>
        <w:tc>
          <w:tcPr>
            <w:tcW w:w="84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$14.4 million for the three months ended June 30, 2024, compared to $23.7 million for the three months ended June 30, 2023, a decrease of $9.3 million, or 39%. The decrease was primarily due to a $9.6 million decrease in litigation costs compared to those that occurred in the prior-year period and are out of the ordinary course of business, a $2.6 million decrease in lease-related impairment charges that occurred in the prior-year period, and a $0.5 million decrease in stock-based compensation. These decreases were partially offset by a $2.2 million increase in acquisition-related costs and a $0.9 increase in salary and related personnel costs.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as a percentage of revenue decreased from 32% in the three months ended June 30, 2023 to 19% in the three months ended June 30, 2024.</w:t>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tbl>
      <w:tblPr>
        <w:tblW w:w="7699" w:type="dxa"/>
        <w:jc w:val="left"/>
        <w:tblInd w:w="0" w:type="dxa"/>
        <w:tblLayout w:type="fixed"/>
        <w:tblCellMar>
          <w:top w:w="28" w:type="dxa"/>
          <w:left w:w="28" w:type="dxa"/>
          <w:bottom w:w="28" w:type="dxa"/>
          <w:right w:w="28" w:type="dxa"/>
        </w:tblCellMar>
      </w:tblPr>
      <w:tblGrid>
        <w:gridCol w:w="939"/>
        <w:gridCol w:w="826"/>
        <w:gridCol w:w="829"/>
        <w:gridCol w:w="211"/>
        <w:gridCol w:w="721"/>
        <w:gridCol w:w="271"/>
        <w:gridCol w:w="109"/>
        <w:gridCol w:w="109"/>
        <w:gridCol w:w="109"/>
        <w:gridCol w:w="211"/>
        <w:gridCol w:w="721"/>
        <w:gridCol w:w="271"/>
        <w:gridCol w:w="109"/>
        <w:gridCol w:w="109"/>
        <w:gridCol w:w="109"/>
        <w:gridCol w:w="241"/>
        <w:gridCol w:w="436"/>
        <w:gridCol w:w="125"/>
        <w:gridCol w:w="109"/>
        <w:gridCol w:w="109"/>
        <w:gridCol w:w="109"/>
        <w:gridCol w:w="186"/>
        <w:gridCol w:w="186"/>
        <w:gridCol w:w="54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 were essentially flat, and were $10.7 million for the three months ended June 30, 2024, compared to $10.7 million for the three months ended June 30, 2023.</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as a percentage of revenue decreased from 15% in the three months ended June 30, 2023 to 14% in the three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50545"/>
                <wp:effectExtent l="0" t="0" r="0" b="0"/>
                <wp:wrapNone/>
                <wp:docPr id="60" name="Frame6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and other income (expense), net</w:t>
      </w:r>
    </w:p>
    <w:tbl>
      <w:tblPr>
        <w:tblW w:w="8621" w:type="dxa"/>
        <w:jc w:val="left"/>
        <w:tblInd w:w="0" w:type="dxa"/>
        <w:tblLayout w:type="fixed"/>
        <w:tblCellMar>
          <w:top w:w="28" w:type="dxa"/>
          <w:left w:w="28" w:type="dxa"/>
          <w:bottom w:w="28" w:type="dxa"/>
          <w:right w:w="28" w:type="dxa"/>
        </w:tblCellMar>
      </w:tblPr>
      <w:tblGrid>
        <w:gridCol w:w="1386"/>
        <w:gridCol w:w="1214"/>
        <w:gridCol w:w="1225"/>
        <w:gridCol w:w="217"/>
        <w:gridCol w:w="634"/>
        <w:gridCol w:w="112"/>
        <w:gridCol w:w="112"/>
        <w:gridCol w:w="112"/>
        <w:gridCol w:w="112"/>
        <w:gridCol w:w="217"/>
        <w:gridCol w:w="634"/>
        <w:gridCol w:w="112"/>
        <w:gridCol w:w="109"/>
        <w:gridCol w:w="109"/>
        <w:gridCol w:w="109"/>
        <w:gridCol w:w="213"/>
        <w:gridCol w:w="471"/>
        <w:gridCol w:w="112"/>
        <w:gridCol w:w="109"/>
        <w:gridCol w:w="109"/>
        <w:gridCol w:w="109"/>
        <w:gridCol w:w="269"/>
        <w:gridCol w:w="271"/>
        <w:gridCol w:w="544"/>
      </w:tblGrid>
      <w:tr>
        <w:trPr/>
        <w:tc>
          <w:tcPr>
            <w:tcW w:w="138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income (expense), net</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 increased $0.3 million, or 13%, for the three months ended June 30, 2024, compared to the three months ended June 30, 2023. This change is primarily due to an increase in interest income on our short-term investments of $0.3 million, primarily due to higher market interest rates, without a commensurate increase in interest expense on our Notes.</w:t>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Income tax provision</w:t>
      </w:r>
    </w:p>
    <w:tbl>
      <w:tblPr>
        <w:tblW w:w="6545" w:type="dxa"/>
        <w:jc w:val="left"/>
        <w:tblInd w:w="0" w:type="dxa"/>
        <w:tblLayout w:type="fixed"/>
        <w:tblCellMar>
          <w:top w:w="28" w:type="dxa"/>
          <w:left w:w="28" w:type="dxa"/>
          <w:bottom w:w="28" w:type="dxa"/>
          <w:right w:w="28" w:type="dxa"/>
        </w:tblCellMar>
      </w:tblPr>
      <w:tblGrid>
        <w:gridCol w:w="667"/>
        <w:gridCol w:w="588"/>
        <w:gridCol w:w="590"/>
        <w:gridCol w:w="283"/>
        <w:gridCol w:w="484"/>
        <w:gridCol w:w="146"/>
        <w:gridCol w:w="146"/>
        <w:gridCol w:w="146"/>
        <w:gridCol w:w="146"/>
        <w:gridCol w:w="283"/>
        <w:gridCol w:w="484"/>
        <w:gridCol w:w="146"/>
        <w:gridCol w:w="109"/>
        <w:gridCol w:w="109"/>
        <w:gridCol w:w="109"/>
        <w:gridCol w:w="241"/>
        <w:gridCol w:w="436"/>
        <w:gridCol w:w="125"/>
        <w:gridCol w:w="109"/>
        <w:gridCol w:w="109"/>
        <w:gridCol w:w="109"/>
        <w:gridCol w:w="218"/>
        <w:gridCol w:w="218"/>
        <w:gridCol w:w="54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consists of current and deferred taxes for U.S. federal, state, and foreign income taxes. As we have a full valuation allowance on our net deferred tax assets, our income tax provision typically consists primarily of minimal state and foreign income taxes, which is the case for the three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Discussion of the Six Months Ended June 30, 2024 and 2023 </w:t>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Revenue</w:t>
      </w:r>
    </w:p>
    <w:tbl>
      <w:tblPr>
        <w:tblW w:w="7447" w:type="dxa"/>
        <w:jc w:val="left"/>
        <w:tblInd w:w="0" w:type="dxa"/>
        <w:tblLayout w:type="fixed"/>
        <w:tblCellMar>
          <w:top w:w="28" w:type="dxa"/>
          <w:left w:w="28" w:type="dxa"/>
          <w:bottom w:w="28" w:type="dxa"/>
          <w:right w:w="28" w:type="dxa"/>
        </w:tblCellMar>
      </w:tblPr>
      <w:tblGrid>
        <w:gridCol w:w="709"/>
        <w:gridCol w:w="625"/>
        <w:gridCol w:w="630"/>
        <w:gridCol w:w="211"/>
        <w:gridCol w:w="826"/>
        <w:gridCol w:w="271"/>
        <w:gridCol w:w="109"/>
        <w:gridCol w:w="109"/>
        <w:gridCol w:w="109"/>
        <w:gridCol w:w="211"/>
        <w:gridCol w:w="826"/>
        <w:gridCol w:w="271"/>
        <w:gridCol w:w="109"/>
        <w:gridCol w:w="109"/>
        <w:gridCol w:w="109"/>
        <w:gridCol w:w="211"/>
        <w:gridCol w:w="616"/>
        <w:gridCol w:w="109"/>
        <w:gridCol w:w="109"/>
        <w:gridCol w:w="109"/>
        <w:gridCol w:w="109"/>
        <w:gridCol w:w="203"/>
        <w:gridCol w:w="203"/>
        <w:gridCol w:w="544"/>
      </w:tblGrid>
      <w:tr>
        <w:trPr/>
        <w:tc>
          <w:tcPr>
            <w:tcW w:w="7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was $150.6 million for the six months ended June 30, 2024, compared to $147.1 million for the six months ended June 30, 2023, an increase of $3.5 million, or 2%.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revenue was $94.6 million, or 63% of total revenue, for the six months ended June 30, 2024, compared to $94.5 million, or 64% of total revenue, for the six months ended June 30, 2023. The slight technology revenue increase was primarily from growth from new Platform Subscription Clients, revenue from existing clients paying higher technology access fees from contractual, annual escalators, and new offerings of expanded support services, partially offset by elevated churn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50545"/>
                <wp:effectExtent l="0" t="0" r="0" b="0"/>
                <wp:wrapNone/>
                <wp:docPr id="61" name="Frame6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 revenue was $56.0 million, or 37% of total revenue, for the six months ended June 30, 2024, compared to $52.6 million, or 36% of total revenue, for the six months ended June 30, 2023. The professional services revenue growth is primarily due to implementation, analytics, and other improvement services being provided to Platform Subscription Clients, which includes Tech-enabled Managed Services.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Cost of revenue, excluding depreciation and amortization</w:t>
      </w:r>
    </w:p>
    <w:tbl>
      <w:tblPr>
        <w:tblW w:w="10205" w:type="dxa"/>
        <w:jc w:val="left"/>
        <w:tblInd w:w="0" w:type="dxa"/>
        <w:tblLayout w:type="fixed"/>
        <w:tblCellMar>
          <w:top w:w="28" w:type="dxa"/>
          <w:left w:w="28" w:type="dxa"/>
          <w:bottom w:w="28" w:type="dxa"/>
          <w:right w:w="28" w:type="dxa"/>
        </w:tblCellMar>
      </w:tblPr>
      <w:tblGrid>
        <w:gridCol w:w="1838"/>
        <w:gridCol w:w="1614"/>
        <w:gridCol w:w="1619"/>
        <w:gridCol w:w="211"/>
        <w:gridCol w:w="721"/>
        <w:gridCol w:w="271"/>
        <w:gridCol w:w="109"/>
        <w:gridCol w:w="109"/>
        <w:gridCol w:w="109"/>
        <w:gridCol w:w="211"/>
        <w:gridCol w:w="721"/>
        <w:gridCol w:w="271"/>
        <w:gridCol w:w="109"/>
        <w:gridCol w:w="109"/>
        <w:gridCol w:w="109"/>
        <w:gridCol w:w="213"/>
        <w:gridCol w:w="471"/>
        <w:gridCol w:w="112"/>
        <w:gridCol w:w="109"/>
        <w:gridCol w:w="109"/>
        <w:gridCol w:w="109"/>
        <w:gridCol w:w="203"/>
        <w:gridCol w:w="203"/>
        <w:gridCol w:w="545"/>
      </w:tblGrid>
      <w:tr>
        <w:trPr/>
        <w:tc>
          <w:tcPr>
            <w:tcW w:w="1838"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5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 excluding depreciation and amortization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technology revenue, excluding depreciation and amortization, was $31.4 million for the six months ended June 30, 2024, compared to $30.6 million for the six months ended June 30, 2023, an increase of $0.8 million, or 3%. The increase was primarily due to a $2.1 million increase in cloud computing and hosting costs largely from the expanded use of Microsoft Azure to serve existing and new clients, partially offset by a $0.6 million decrease in license and revenue share fees, a $0.3 million decrease in contractor and outside service provider fees, and a $0.4 million decrease in salary and related personnel costs, including stock-based compensation.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revenue was essentially flat at $47.2 million for each of the six months ended June 30, 2024 and 2023. Notable changes in the cost of professional services revenue for the period include a $2.3 million increase in salary and related personnel cost, almost entirely offset by a $1.1 million decrease in stock-based compensation, a $0.9 million decrease in contractor and outside service provider fees, and a $0.3 million decrease in restructuring charges.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7638" w:type="dxa"/>
        <w:jc w:val="left"/>
        <w:tblInd w:w="0" w:type="dxa"/>
        <w:tblLayout w:type="fixed"/>
        <w:tblCellMar>
          <w:top w:w="28" w:type="dxa"/>
          <w:left w:w="28" w:type="dxa"/>
          <w:bottom w:w="28" w:type="dxa"/>
          <w:right w:w="28" w:type="dxa"/>
        </w:tblCellMar>
      </w:tblPr>
      <w:tblGrid>
        <w:gridCol w:w="840"/>
        <w:gridCol w:w="739"/>
        <w:gridCol w:w="745"/>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186"/>
        <w:gridCol w:w="186"/>
        <w:gridCol w:w="544"/>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were $31.8 million for the six months ended June 30, 2024, compared to $35.0 million for the six months ended June 30, 2023, a decrease of $3.2 million, or 9%. The decrease was primarily due to a $4.5 million decrease in stock-based compensation, a $2.1 million decrease in salary and related personnel costs, and a $0.2 million decrease in restructuring charges. These decreases were partially offset by a $1.9 million increase in our provision for expected credit losses and a $1.6 million increase in contractor and outside service provider fees.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 as a percentage of total revenue decreased from 24% in the six months ended June 30, 2023 to 21% in the six months ended June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50545"/>
                <wp:effectExtent l="0" t="0" r="0" b="0"/>
                <wp:wrapNone/>
                <wp:docPr id="62" name="Frame6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7703" w:type="dxa"/>
        <w:jc w:val="left"/>
        <w:tblInd w:w="0" w:type="dxa"/>
        <w:tblLayout w:type="fixed"/>
        <w:tblCellMar>
          <w:top w:w="28" w:type="dxa"/>
          <w:left w:w="28" w:type="dxa"/>
          <w:bottom w:w="28" w:type="dxa"/>
          <w:right w:w="28" w:type="dxa"/>
        </w:tblCellMar>
      </w:tblPr>
      <w:tblGrid>
        <w:gridCol w:w="843"/>
        <w:gridCol w:w="739"/>
        <w:gridCol w:w="743"/>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544"/>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$28.8 million for the six months ended June 30, 2024, compared to $34.7 million for the six months ended June 30, 2023, a decrease of $5.9 million, or 17%. The decrease was primarily due to a $2.2 million decrease in stock-based compensation, a $2.1 million decrease in contractor and outside service provider fees, and a $1.5 million decrease in salary and related personnel costs.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 as a percentage of revenue decreased from 24% in the six months ended June 30, 2023 to 19% in the six months ended June 30, 2024. </w:t>
      </w:r>
    </w:p>
    <w:p>
      <w:pPr>
        <w:pStyle w:val="TextBody"/>
        <w:bidi w:val="0"/>
        <w:spacing w:lineRule="auto" w:line="288" w:before="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7808" w:type="dxa"/>
        <w:jc w:val="left"/>
        <w:tblInd w:w="0" w:type="dxa"/>
        <w:tblLayout w:type="fixed"/>
        <w:tblCellMar>
          <w:top w:w="28" w:type="dxa"/>
          <w:left w:w="28" w:type="dxa"/>
          <w:bottom w:w="28" w:type="dxa"/>
          <w:right w:w="28" w:type="dxa"/>
        </w:tblCellMar>
      </w:tblPr>
      <w:tblGrid>
        <w:gridCol w:w="843"/>
        <w:gridCol w:w="740"/>
        <w:gridCol w:w="742"/>
        <w:gridCol w:w="211"/>
        <w:gridCol w:w="721"/>
        <w:gridCol w:w="271"/>
        <w:gridCol w:w="109"/>
        <w:gridCol w:w="109"/>
        <w:gridCol w:w="109"/>
        <w:gridCol w:w="211"/>
        <w:gridCol w:w="721"/>
        <w:gridCol w:w="271"/>
        <w:gridCol w:w="109"/>
        <w:gridCol w:w="109"/>
        <w:gridCol w:w="109"/>
        <w:gridCol w:w="211"/>
        <w:gridCol w:w="796"/>
        <w:gridCol w:w="109"/>
        <w:gridCol w:w="109"/>
        <w:gridCol w:w="109"/>
        <w:gridCol w:w="109"/>
        <w:gridCol w:w="218"/>
        <w:gridCol w:w="218"/>
        <w:gridCol w:w="544"/>
      </w:tblGrid>
      <w:tr>
        <w:trPr/>
        <w:tc>
          <w:tcPr>
            <w:tcW w:w="84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$28.9 million for the six months ended June 30, 2024, compared to $47.5 million for the six months ended June 30, 2023, a decrease of $18.6 million, or 39%. The decrease was primarily due to a $21.3 million decrease in litigation costs compared to those that occurred in the prior-year period and are out of the ordinary course of business, a $0.8 million decrease in stock-based compensation, and a $0.4 million decrease in lease-related impairment charges. These decreases were partially offset by a $2.5 million increase in acquisition-related costs and a $1.6 increase in salary and related personnel costs.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as a percentage of revenue decreased from 32% in the six months ended June 30, 2023 to 19% in the six months ended June 30, 2024.</w:t>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tbl>
      <w:tblPr>
        <w:tblW w:w="7758" w:type="dxa"/>
        <w:jc w:val="left"/>
        <w:tblInd w:w="0" w:type="dxa"/>
        <w:tblLayout w:type="fixed"/>
        <w:tblCellMar>
          <w:top w:w="28" w:type="dxa"/>
          <w:left w:w="28" w:type="dxa"/>
          <w:bottom w:w="28" w:type="dxa"/>
          <w:right w:w="28" w:type="dxa"/>
        </w:tblCellMar>
      </w:tblPr>
      <w:tblGrid>
        <w:gridCol w:w="939"/>
        <w:gridCol w:w="826"/>
        <w:gridCol w:w="829"/>
        <w:gridCol w:w="211"/>
        <w:gridCol w:w="721"/>
        <w:gridCol w:w="271"/>
        <w:gridCol w:w="109"/>
        <w:gridCol w:w="109"/>
        <w:gridCol w:w="109"/>
        <w:gridCol w:w="211"/>
        <w:gridCol w:w="721"/>
        <w:gridCol w:w="271"/>
        <w:gridCol w:w="109"/>
        <w:gridCol w:w="109"/>
        <w:gridCol w:w="109"/>
        <w:gridCol w:w="211"/>
        <w:gridCol w:w="541"/>
        <w:gridCol w:w="109"/>
        <w:gridCol w:w="109"/>
        <w:gridCol w:w="109"/>
        <w:gridCol w:w="109"/>
        <w:gridCol w:w="186"/>
        <w:gridCol w:w="186"/>
        <w:gridCol w:w="54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 were $21.2 million for the six months ended June 30, 2024, compared to $21.7 million for the six months ended June 30, 2023, a decrease of $0.5 million, or 3%. This decrease was primarily due to certain acquired intangible assets from our business combinations becoming fully amortized.</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as a percentage of revenue decreased from 15% in the six months ended June 30, 2023 to 14% in the six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50545"/>
                <wp:effectExtent l="0" t="0" r="0" b="0"/>
                <wp:wrapNone/>
                <wp:docPr id="63" name="Frame6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and other income (expense), net</w:t>
      </w:r>
    </w:p>
    <w:tbl>
      <w:tblPr>
        <w:tblW w:w="8558" w:type="dxa"/>
        <w:jc w:val="left"/>
        <w:tblInd w:w="0" w:type="dxa"/>
        <w:tblLayout w:type="fixed"/>
        <w:tblCellMar>
          <w:top w:w="28" w:type="dxa"/>
          <w:left w:w="28" w:type="dxa"/>
          <w:bottom w:w="28" w:type="dxa"/>
          <w:right w:w="28" w:type="dxa"/>
        </w:tblCellMar>
      </w:tblPr>
      <w:tblGrid>
        <w:gridCol w:w="1386"/>
        <w:gridCol w:w="1214"/>
        <w:gridCol w:w="1225"/>
        <w:gridCol w:w="211"/>
        <w:gridCol w:w="616"/>
        <w:gridCol w:w="109"/>
        <w:gridCol w:w="109"/>
        <w:gridCol w:w="109"/>
        <w:gridCol w:w="109"/>
        <w:gridCol w:w="211"/>
        <w:gridCol w:w="616"/>
        <w:gridCol w:w="109"/>
        <w:gridCol w:w="109"/>
        <w:gridCol w:w="109"/>
        <w:gridCol w:w="109"/>
        <w:gridCol w:w="213"/>
        <w:gridCol w:w="471"/>
        <w:gridCol w:w="112"/>
        <w:gridCol w:w="109"/>
        <w:gridCol w:w="109"/>
        <w:gridCol w:w="109"/>
        <w:gridCol w:w="269"/>
        <w:gridCol w:w="271"/>
        <w:gridCol w:w="544"/>
      </w:tblGrid>
      <w:tr>
        <w:trPr/>
        <w:tc>
          <w:tcPr>
            <w:tcW w:w="138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 increased $0.8 million, or 21%, for the six months ended June 30, 2024, compared to the six months ended June 30, 2023. This change is primarily due to an increase in interest income on our short-term investments of $0.9 million, primarily due to higher market interest rates, without a commensurate increase in interest expense on our Notes.</w:t>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Income tax provision</w:t>
      </w:r>
    </w:p>
    <w:tbl>
      <w:tblPr>
        <w:tblW w:w="6277" w:type="dxa"/>
        <w:jc w:val="left"/>
        <w:tblInd w:w="0" w:type="dxa"/>
        <w:tblLayout w:type="fixed"/>
        <w:tblCellMar>
          <w:top w:w="28" w:type="dxa"/>
          <w:left w:w="28" w:type="dxa"/>
          <w:bottom w:w="28" w:type="dxa"/>
          <w:right w:w="28" w:type="dxa"/>
        </w:tblCellMar>
      </w:tblPr>
      <w:tblGrid>
        <w:gridCol w:w="667"/>
        <w:gridCol w:w="588"/>
        <w:gridCol w:w="590"/>
        <w:gridCol w:w="230"/>
        <w:gridCol w:w="508"/>
        <w:gridCol w:w="118"/>
        <w:gridCol w:w="118"/>
        <w:gridCol w:w="118"/>
        <w:gridCol w:w="118"/>
        <w:gridCol w:w="230"/>
        <w:gridCol w:w="508"/>
        <w:gridCol w:w="118"/>
        <w:gridCol w:w="109"/>
        <w:gridCol w:w="109"/>
        <w:gridCol w:w="109"/>
        <w:gridCol w:w="246"/>
        <w:gridCol w:w="421"/>
        <w:gridCol w:w="129"/>
        <w:gridCol w:w="109"/>
        <w:gridCol w:w="109"/>
        <w:gridCol w:w="109"/>
        <w:gridCol w:w="186"/>
        <w:gridCol w:w="186"/>
        <w:gridCol w:w="54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consists of current and deferred taxes for U.S. federal, state, and foreign income taxes. As we have a full valuation allowance on our net deferred tax assets, our income tax provision typically consists primarily of minimal state and foreign income taxes, which is the case for the six months ended June 30, 2024 and 2023.</w:t>
      </w:r>
    </w:p>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50545"/>
                <wp:effectExtent l="0" t="0" r="0" b="0"/>
                <wp:wrapNone/>
                <wp:docPr id="64" name="Frame6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had cash, cash equivalents, and short-term investments of $308.3 million, which were held for working capital and other general corporate purposes, which may include acquisitions and strategic transactions. Our cash equivalents and short-term investments are comprised primarily of money market funds, U.S. treasury notes, commercial paper, corporate bonds, and U.S. agency securities. </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financed our operations primarily from the proceeds we received through private sales of equity securities, payments received from clients under technology and professional services arrangements, borrowings under our loan and security agreements (including our Credit Agreement described below), our IPO, the Note Offering, and the Secondary Public Equity Offering. Our future capital requirements will depend on many factors, including our pace of new client growth and expanded client relationships, technology and professional services renewal activity, and the timing and extent of spend to support the expansion of sales, marketing, development, share repurchases, and acquisition-related activities.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existing cash, cash equivalents, and marketable securities will be sufficient to meet our working capital and capital expenditure needs over at least the next 12 months, though we may require additional capital resources in the future.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 plan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2022, our board of directors authorized a share repurchase program to repurchase up to $40.0 million of our outstanding shares of common stock (Share Repurchase Plan). During the six months ended June 30, 2024, there were no shares repurchased. During the six months ended June 30, 2024, we repurchased and retired 145,027 shares of our common stock for $1.8 million at an average purchase price of $12.45 per share. The total remaining authorization for future shares of common stock repurchases under our Share Repurchase Plan is $29.8 million as of June 30, 2024.</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14, 2020, we issued $230.0 million in aggregate principal amount of 2.50% Convertible Senior Notes due 2025, pursuant to an Indenture dated April 14, 2020, with U.S. Bank National Association, as trustee, in a private offering to qualified institutional buyers. We received net proceeds from the sale of the Notes of $222.5 million, after deducting the initial purchasers’ discounts and offering expenses payable by us. The Notes are senior, unsecured obligations and will accrue interest payable semiannually in arrears on April 15 and October 15 of each year, beginning on October 15, 2020, at a rate of 2.50% per year. The Notes will mature on April 15, 2025, unless earlier converted, redeemed, or repurchased. The Notes are convertible into cash, shares of our common stock, or a combination of cash and shares of our common stock, with the form of consideration determined at our election. The conversion rate is initially 32.6797 shares of our common stock per $1,000 principal amount of Notes (which is equivalent to an initial conversion price of approximately $30.60 per share of our common stock).</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Capped calls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8, 2020, concurrently with the pricing of the Notes, we entered into privately negotiated capped call transactions (Base Capped Calls) with certain financial institutions, or option counterparties. In addition, in connection with the initial purchasers’ exercise in full of their option to purchase additional Notes, on April 9, 2020, we entered into additional capped call transactions (Additional Capped Calls, and, together with the Base Capped Calls, the Capped Calls) with each of the option counterparties. We used approximately $21.6 million of the net proceeds from the Note Offering to pay the option premium cost of the Capped Calls. The Capped Calls have initial cap prices of $42.00 per share, subject to certain adjustments. The Capped Calls are expected generally to reduce the potential dilution to our common stock upon any conversion of Notes and/or offset any cash payments we are required to make in excess of the principal amount of converted Notes, as the case may be, with such reduction and/or offset subject to the cap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50545"/>
                <wp:effectExtent l="0" t="0" r="0" b="0"/>
                <wp:wrapNone/>
                <wp:docPr id="65" name="Frame6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10—Convertible Senior Notes” to our condensed consolidated financial statements included elsewhere in this Quarterly Report on Form 10-Q for additional details regarding the private offering of the Notes and the Capped Calls.</w:t>
      </w:r>
    </w:p>
    <w:p>
      <w:pPr>
        <w:pStyle w:val="TextBody"/>
        <w:bidi w:val="0"/>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16, 2024 (Closing Date), we entered into a credit agreement with Silver Point Finance, LLC as administrative agent and collateral agent, and the lenders from time to time party thereto (Credit Agreement). The Credit Agreement provides a five-year term loan facility in an aggregate principal amount of up to $225 million, consisting of an initial term loan in the aggregate principal amount of $125 million, which was funded on the Closing Date, and a delayed draw term loan facility in the aggregate principal amount of $100 million, which was undrawn on the Closing Date. We have the option to draw up to $40 million under the delayed draw facility within six months after the Closing Date and up to an additional $60 million under the delayed draw facility within eighteen months after the Closing Date, in each case, subject to satisfaction of certain conditions, including a minimum liquidity threshold and a maximum recurring revenue ratio. Borrowings under the Credit Agreement are expected to bear interest at a rate per annum equal to the secured overnight financing rate (SOFR) plus 6.5%. Commencing with the quarter ending on December 31, 2024, we are required to make quarterly principal payments in an amount equal to 0.25% of the aggregate original principal amount, and the final maturity date of the term loans is July 16, 2029.</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proceeds from the initial term loan will be used, together with cash on hand, (i) to repurchase, repay and/or pay amounts of cash due upon conversion of any or all of our Notes at any time on or prior to the maturity of the Notes and (ii) for working capital and general corporate purposes. The proceeds from the delayed draw term loan facility, if any, will be used to fund our inorganic growth strategy through permitted acquisitions (including deferred purchase price or similar arrangements related thereto) and to pay fees, costs, and expenses in connection therewith.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six months ended June 30, 2024 and 2023:</w:t>
      </w:r>
    </w:p>
    <w:tbl>
      <w:tblPr>
        <w:tblW w:w="6849" w:type="dxa"/>
        <w:jc w:val="left"/>
        <w:tblInd w:w="0" w:type="dxa"/>
        <w:tblLayout w:type="fixed"/>
        <w:tblCellMar>
          <w:top w:w="28" w:type="dxa"/>
          <w:left w:w="28" w:type="dxa"/>
          <w:bottom w:w="28" w:type="dxa"/>
          <w:right w:w="28" w:type="dxa"/>
        </w:tblCellMar>
      </w:tblPr>
      <w:tblGrid>
        <w:gridCol w:w="1562"/>
        <w:gridCol w:w="1374"/>
        <w:gridCol w:w="1384"/>
        <w:gridCol w:w="211"/>
        <w:gridCol w:w="721"/>
        <w:gridCol w:w="109"/>
        <w:gridCol w:w="109"/>
        <w:gridCol w:w="109"/>
        <w:gridCol w:w="109"/>
        <w:gridCol w:w="211"/>
        <w:gridCol w:w="796"/>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source of operating cash flows is cash collections from our clients for technology and professional services arrangements. Our primary uses of cash from operating activities are for employee-related expenses, marketing expenses, and technology costs.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net cash provided by operating activities was $11.9 million, which included a net loss of $34.1 million. Non-cash adjustments primarily consisted of $21.2 million in depreciation and amortization, $19.8 million in stock-based compensation, $3.4 million from the provision for expected credit losses, and $2.2 million from lease-related impairment charges, reduced by $3.1 million in net interest income from the accretion of discounts on our short-term investments. </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50545"/>
                <wp:effectExtent l="0" t="0" r="0" b="0"/>
                <wp:wrapNone/>
                <wp:docPr id="66" name="Frame6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net cash used in operating activities was $17.2 million, which included a net loss of $65.8 million. Non-cash adjustments primarily consisted of $21.7 million in depreciation and amortization, $28.5 million in stock-based compensation, and $2.7 million from lease-related impairment charges, reduced by $4.0 million in net interest income from the accretion of discounts on our short-term investments.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for the six months ended June 30, 2024 of $82.2 million was primarily due to $158.2 million provided from the sale and maturity of short-term investments, reduced by $50.2 million in purchases of short-term investments, $18.7 million used to acquire Carevive, and $6.3 million of capitalized internal-use software development costs.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for the six months ended June 30, 2023 of $15.2 million was primarily due to $188.6 million provided from the sale and maturity of short-term investments, reduced by $165.2 million in purchases of short-term investments, and $6.4 million of capitalized internal-use software development costs.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for the six months ended June 30, 2024 of $1.6 million was primarily the result of $1.4 million in proceeds from our ESPP.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six months ended June 30, 2023 of $1.3 million was primarily the result of $2.2 million in proceeds from our ESPP and $0.9 million in stock option exercise proceeds, reduced by $1.8 million in repurchases of common stock.</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contractual obligations as disclosed in our Annual Report on Form 10-K, filed with the SEC on February 22, 2024 other than the new Credit Agreement entered subsequent to June 30, 2024 on July 16, 2024, as described in the Liquidity and Capital Resources section above and “Note 20—Subsequent Events.”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10—Convertible Senior Notes”, “Note 15—Commitments and Contingencies”, and “Note 20—Subsequent Events” to our condensed consolidated financial statements included elsewhere in this Quarterly Report on Form 10-Q for additional information regarding our commitments and contractual obligations.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financial statements, which have been prepared in accordance with GAAP. The preparation of these condensed consolidated financial statements requires us to make estimates and assumptions that affect the reported amounts of assets, liabilities, revenue, costs and expenses, and related disclosures. To the extent that there are material differences between these estimates and actual results, our financial condition or results of operations would be affected. We base our estimates on past experience and other assumptions that we believe are reasonable under the circumstances, and we evaluate these estimates on an ongoing basis. Critical accounting policies and estimates are those that we consider critical to understanding our historical and future performance, as these policies relate to the more significant areas involving management’s judgments and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50545"/>
                <wp:effectExtent l="0" t="0" r="0" b="0"/>
                <wp:wrapNone/>
                <wp:docPr id="67" name="Frame6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high level of inflation, rising interest rates, and market volatility, amongst other factors, there has been uncertainty and disruption in the global economy and financial markets. We are not aware of any specific event or circumstance that would require updates to our estimates or judgments or require us to revise the carrying value of our assets or liabilities as of the date of issuance of this Quarterly Report on Form 10-Q. These estimates may change as new events occur and additional information is obtained.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results could differ materially from these estimates under different assumptions or conditions. We will continue to actively monitor the impact of the recent inflationary pressures, market volatility caused by bank failures, the challenging macroeconomic environment in general, and other factors on our estimates, including our expected credit losses, goodwill impairment assessments, and the fair value and/or recoverability of other assets.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as previously disclosed in our Annual Report on Form 10-K, filed with the SEC on February 22, 2024. See “Note 1—Description of Business and Summary of Significant Accounting Policies” to our condensed consolidated financial statements included elsewhere in this Quarterly Report on Form 10-Q for more information regarding the Company’s significant accounting policies.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1—Description of Business and Summary of Significant Accounting Policies” to our condensed consolidated financial statements included elsewhere in this Quarterly Report on Form 10-Q for more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50545"/>
                <wp:effectExtent l="0" t="0" r="0" b="0"/>
                <wp:wrapNone/>
                <wp:docPr id="68" name="Frame6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certain market risks in the ordinary course of our business. Market risk represents the risk of loss that may impact our financial position due to adverse changes in financial market prices and rates. Our market risk exposure is primarily a result of fluctuations in interest rates but may include foreign currency exchange risk and inflation in the future.</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had cash, cash equivalents, and short-term investments of $308.3 million as of June 30, 2024, which are held primarily for working capital purposes. We do not make investments for trading or speculative purposes.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equivalents and short-term investments are subject to market risk due to changes in interest rates. Fixed-rate securities may have their market value adversely affected due to a rise in interest rates, while floating rate securities may produce less income than expected if interest rates fall. Due in part to these factors, our future investment income may fluctuate due to changes in interest rates or we may suffer losses in principal if we are forced to sell securities that decline in market value due to changes in interest rates. However, because we classify our investments as “available for sale,” no gains or losses are recognized due to changes in interest rates unless such securities are sold prior to maturity or declines in fair value are determined to be other-than-temporary.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 hypothetical 100 basis point change in interest rates would not have had a material impact on the value of our cash equivalents or investment portfolio. Fluctuations in the value of our cash equivalents and investment portfolio caused by a change in interest rates (gains or losses on the carrying value) are recorded in other comprehensive income and are realized only if we sell the underlying securities prior to maturity.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14, 2020, we issued $230.0 million in aggregate principal amount Convertible Senior Notes due 2025 (Notes), in a private placement to qualified institutional buyers exempt from registration under the Securities Act (Note Offering). The Notes have a fixed annual interest rate of 2.50%, and, therefore, we do not have economic interest rate exposure on the Notes. However, the values of the Notes are exposed to interest rate risk. Generally, the fair value of our fixed interest rate Notes will increase as interest rates fall and decrease as interest rates rise. We carry the Notes at face value less unamortized discount on our condensed consolidated balance sheets, and we present the fair value for required disclosure purposes only. </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June 30, 2024, on July 16, 2024, we entered into the Credit Agreement consisting of a $125 million funded term loan and a delayed draw term loan facility in the aggregate principal amount of $100 million, which was undrawn as of the Closing Date. The maturity date of the term loans is July 16, 2029. The interest that accrues on outstanding principal of the term loans is payable in cash on a quarterly basis, which portion accrues at a floating rate equal to SOFR plus 6.5% per year. In the event that SOFR is unavailable, interest will accrue at a floating rate equal to the alternate base rate (as described in the Credit Agreement) plus 5.5% per year. Commencing with the quarter ending on December 31, 2024, we are required to make quarterly principal payments in an amount equal to 0.25% of the aggregate original principal amount, and the final maturity date of the term loans is July 16, 2029.</w:t>
      </w:r>
    </w:p>
    <w:p>
      <w:pPr>
        <w:pStyle w:val="TextBody"/>
        <w:bidi w:val="0"/>
        <w:spacing w:before="0" w:after="0"/>
        <w:jc w:val="left"/>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floating interest rate, we are required to pay a commitment fee on the unutilized commitments under the delayed draw facility ranging from 1.5% to 2.5% per year depending upon the year and the unutilized delayed draw term loan.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risk also reflects our exposure to movements in interest rates associated with our borrowings. As of the time of this filing a hypothetical change in interest rates of 100 basis points would not have a material impact on the fair value of our outstanding debt.</w:t>
      </w:r>
    </w:p>
    <w:p>
      <w:pPr>
        <w:pStyle w:val="TextBody"/>
        <w:bidi w:val="0"/>
        <w:spacing w:before="0" w:after="240"/>
        <w:ind w:left="0" w:right="0" w:firstLine="360"/>
        <w:jc w:val="both"/>
        <w:rPr/>
      </w:pPr>
      <w:r>
        <w:rPr/>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50545"/>
                <wp:effectExtent l="0" t="0" r="0" b="0"/>
                <wp:wrapNone/>
                <wp:docPr id="69" name="Frame6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reporting currency is the U.S. dollar, and the functional currency of our international subsidiaries is typically their local currency. Our results of operations and cash flows are subject to fluctuations due to changes in foreign currency exchange rates, particularly changes in the Indian Rupee and Singapore Dollar. Due to the relatively small size of our international operations to date, our foreign currency exposure has been fairly limited and not material to our business. Accordingly, we have not instituted a hedging program. We are considering the costs and benefits of initiating such a program and may in the future hedge balances and transactions denominated in currencies other than the U.S. dollar as we expand our international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Today, our international sales contracts are generally denominated in U.S. dollars, while our international operating expenses are often denominated in local currencies. In the future, an increasing portion of our international sales contracts may be denominated in local currencies. Additionally, as we expand our international operations a larger portion of our operating expenses will be denominated in local currencies. Therefore, fluctuations in the value of the U.S. dollar and foreign currencies may affect our results of operations when translated into U.S. dollars.</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recent high inflationary environment has adversely affected workforces, organizations, governments, clients, economies, and financial markets globally, leading to an economic downturn and increased market volatility. It has also disrupted the normal operations of many businesses, including ours. </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health system end market is currently experiencing meaningful financial strain from significant inflation with increases in labor and supply costs without a commensurate increase in revenue, leading to significant margin pressure. Although we are unable to determine the exact impact of inflation on our clients and on our business, we continue to monitor and assess the impact of inflationary pressures on our business operations. If our costs, including labor costs, were to become subject to significant inflationary pressures on an ongoing basis, we may not be able to fully offset such higher costs by increasing fees for our Solution. Our inability or failure to do so could harm our business,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24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Chief Financial Officer, evaluated the effectiveness of our disclosure controls and procedures as of June 30, 2024. Based on the evaluation of our disclosure controls and procedures as of June 30, 2024, our Chief Executive Officer and Chief Financial Officer concluded that, as of such date, our disclosure controls and procedures were effective at the reasonable assurance level.</w:t>
      </w:r>
    </w:p>
    <w:p>
      <w:pPr>
        <w:pStyle w:val="TextBody"/>
        <w:bidi w:val="0"/>
        <w:spacing w:lineRule="auto" w:line="288" w:before="0" w:after="24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50545"/>
                <wp:effectExtent l="0" t="0" r="0" b="0"/>
                <wp:wrapNone/>
                <wp:docPr id="70" name="Frame7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50545"/>
                <wp:effectExtent l="0" t="0" r="0" b="0"/>
                <wp:wrapNone/>
                <wp:docPr id="71" name="Frame7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and from time to time may be, party to litigation and subject to claims incident to the ordinary course of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We are not presently party to any other legal proceedings that in the opinion of management, if determined to adversely affect us, may individually or taken together have a material adverse effect on our business, operating results, financial condition, or cash flows.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a legal proceeding that was dismissed with prejudice on June 20, 2023, refer to “Note 15—Commitments and Contingencies” to our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24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carefully consider the following risk factors, in addition to the other information contained in this Quarterly Report on Form 10-Q,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report.</w:t>
      </w:r>
    </w:p>
    <w:p>
      <w:pPr>
        <w:pStyle w:val="TextBody"/>
        <w:bidi w:val="0"/>
        <w:spacing w:lineRule="auto" w:line="276" w:before="0" w:after="24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operate in a highly competitive industry, and if we are not able to compete effectively, our business and results of operations will be harmed.</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healthcare solutions is intensely competitive. We compete across various segments within the healthcare market, including with respect to data analytics and technology platforms, healthcare consulting, care management and coordination, population health management, and health information exchange. Competition in our market involves rapidly changing technologies, evolving regulatory requirements and industry expectations, frequent new product introductions, and changes in client requirements. If we are unable to keep pace with the evolving needs of our clients and continue to develop and introduce new applications and services in a timely and efficient manner, demand for our Solution may be reduced and our business and results of operations will be adversely affected.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competition from industry-agnostic analytics companies, electronic health record (EHR) companies, such as Epic Systems and Cerner, point solution vendors, and healthcare organizations that perform their own analytics. These competitors include large, well-financed, and technologically sophisticated entities. Some of our current large competitors, such as Optum Analytics and IBM, have greater name recognition, longer operating histories, significantly greater resources than we do, and/or more established distribution networks and relationships with healthcare providers. As a result, our current and potential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products or services to increase the availability of their products or services to the marketplace. Current or future competitors may consolidate to improve the breadth of their products, directly competing with our Solution. Accordingly, new competitors may emerge that have greater market share, larger client bases, greater breadth and volume of data, more widely adopted proprietary technologies, broader offerings, greater marketing expertise, greater financial resources, and larger sales forces than we have, which could put us at a competitive disadvantage.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50545"/>
                <wp:effectExtent l="0" t="0" r="0" b="0"/>
                <wp:wrapNone/>
                <wp:docPr id="72" name="Frame7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in light of these advantages, even if our Solution is more effective than the product or service offerings of our competitors, current or potential clients might select competitive products and services in lieu of purchasing our Solution. We face competition from niche vendors, who offer stand-alone products and services, and from existing enterprise vendors, including those currently focused on software products, which have information systems in place with clients in our target markets. These existing enterprise vendors may now, or in the future, offer or promise products or services with less functionality than our Solution, but offer ease of integration with existing systems and that leverage existing vendor relationships. Increased competition is likely to result in pricing pressures, which could negatively impact our sales, profitability, or market share.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patient engagement, population health, and care coordination services face competition from a wide variety of market participants. For example, certain health systems have developed their own population health and care coordination systems. If we fail to distinguish our offerings from the other options available to healthcare providers, the demand for and market share of those offerings may decrease.</w:t>
      </w:r>
    </w:p>
    <w:p>
      <w:pPr>
        <w:pStyle w:val="TextBody"/>
        <w:bidi w:val="0"/>
        <w:spacing w:lineRule="auto" w:line="247"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the healthcare industry could affect the demand for our Solution, cause our existing contracts to be terminated, and negatively impact the process of negotiating future contracts.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the healthcare industry evolves, changes in our client and vendor bases may reduce the demand for our Solution, result in the termination of existing contracts or certain services provided under existing contracts, and make it more difficult to negotiate new contracts on terms that are acceptable to us. For example, the increasing market share of EHR companies in data analytic services at hospital systems may cause our existing clients to terminate contracts with us in order to engage EHR companies to provide these services. Similarly, client and vendor consolidation results in fewer, larger entities with increased bargaining power and the ability to demand terms that are unfavorable to us. If these trends continue, we cannot assure you that we will be able to continue to maintain or expand our client base, negotiate contracts with acceptable terms, or maintain our current pricing structure, and our revenue may decrease.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reductions in expenditures by healthcare organizations, or reductions in such expenditures within market segments that we serve, could have similar impacts with regard to our Solution. Such reductions may result from, among other things, reduced governmental funding for healthcare; a decrease in the number of, or the market exclusivity available to, new drugs coming to market; or adverse changes in business or economic conditions affecting healthcare payors or providers, the pharmaceutical industry, or other healthcare companies that purchase our services (e.g., changes in the design of health plans). In addition, changes in government regulation of the healthcare industry could potentially negatively impact our existing and future contracts. Any of these changes could reduce the purchase of our Solution by such clients, reducing our revenue and possibly requiring us to materially revise our offerings. In addition, our clients’ expectations regarding pending or potential industry developments may also affect their budgeting processes and spending plans with respect to our Solution.</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Macroeconomic challenges (including high inflationary and/or high interest rate environments, or market volatility caused by bank failures and measures taken in response thereto), the tight labor market, and any new public health crisis could harm our business, results of operations, and financial condition.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 macroeconomic challenges (including high inflationary and/or high interest rate environments), and the tight labor market continue to adversely affect workforces, organizations, governments, clients, economies, and financial markets globally and have disrupted the normal operations of many businesses, including our business. These factors have and could further decrease healthcare industry spending, adversely affect demand for our Solution, cause one or more of our clients to file for bankruptcy protection or go out of business, cause one or more of our clients to fail to renew, terminate, or renegotiate their contracts, impact expected spending from new clients, negatively impact collections of accounts receivable, and harm our business, results of operations, and financial condition. </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sales cycle for a new DOS Subscription Client, which we estimate to typically be approximately one year, could lengthen, as we experienced in 2022 and 2023, resulting in a potentially longer delay between increasing operating expenses and the generation of corresponding revenue, if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50545"/>
                <wp:effectExtent l="0" t="0" r="0" b="0"/>
                <wp:wrapNone/>
                <wp:docPr id="73" name="Frame7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with any certainty whether and to what degree the disruption caused by any new public health crisis, the high inflationary environment, rising interest rates, market volatility caused by bank failures and measures taken in response thereto, and reactions to any of the foregoing will continue and expect to face difficulty accurately predicting our internal financial forecasts. Further, it is not possible for us to predict the duration or magnitude of the adverse results of public health crises, and macroeconomic challenges (including the high inflationary and/or high interest rate environments), and their effects on our business, results of operations, or financial condition at this time. Further, market volatility as a result of future failures of financial institutions, similar to the failures of Silicon Valley Bank and Signature Bank, could lead to market-wide liquidity shortages, impair the ability of companies to access near-term working capital needs and create additional market and economic uncertainty. In the event of a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0" w:after="0"/>
        <w:jc w:val="left"/>
        <w:rPr/>
      </w:pPr>
      <w:r>
        <w:rPr/>
      </w:r>
    </w:p>
    <w:p>
      <w:pPr>
        <w:pStyle w:val="TextBody"/>
        <w:bidi w:val="0"/>
        <w:spacing w:lineRule="auto" w:line="244"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be unable to successfully execute on our growth initiatives, business strategies, or operating plans, as well as cost reduction and restructuring initiatives.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continually executing a number of growth initiatives, strategies, and operating plans designed to enhance our business, as well as some cost reduction and restructuring initiatives. We may not be able to successfully complete these growth initiatives, strategies, operating plans, and cost reduction and restructuring initiatives, and realize all of the benefits, including growth targets and cost savings, that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operating plans, and cost reduction and restructuring initiatives, increased difficulty and cost in implementing these efforts, including difficulties in complying with new regulatory requirements and the incurrence of other unexpected costs associated with operating the business.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on October 31, 2023, our board of directors authorized the 2023 Restructuring Plan as part of a restructuring plan intended to optimize our cost structure and focus our investment of resources in key priority areas to align with strategic changes. The 2023 Restructuring Plan reduced our global workforce by approximately 10% during the fourth quarter of 2023 and the first quarter of 2024. We may incur additional expenses not currently contemplated due to events associated with the 2023 Restructuring, such as costs in connection with attrition beyond our intended reduction in force, the loss of institutional knowledge and expertise, or other unforeseen difficulties, delays, or other impacts on other areas of our liabilities and obligations, in each case which could result in losses in future periods or which could otherwise prevent us from realizing, in full or in part, the anticipated benefits and savings from the 2023 Restructuring Plan.</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continued implementation of the 2023 Restructuring Plan or any other programs may disrupt our operations and performance. As a result, we cannot assure you that we will realize these benefits. If, for any reason, the benefits we realize are less than our estimates or the implementation of these growth initiatives, strategies, operating plans, and cost reduction and restructuring initiatives adversely affect our operations or cost more or take longer to effectuate than we expect, or if our assumptions prove inaccurate, our business, financial condition, and results of operations may be materially adversely affected.</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If we fail to provide effective professional services and high-quality client support, our business and reputation would suffer.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professional services and high-quality, ongoing client support are important to the successful marketing and sale of our products and services and for the renewal of existing client agreements. Providing these services and support requires that our professional services and support personnel have healthcare, technical, and other knowledge and expertise, making it difficult for us to hire qualified personnel and scale our professional services and support operations. The demand on our client support organization will increase as we expand our business and pursue new clients, and such increased support could require us to devote significant development services and support personnel, which could strain our team and infrastructure and reduce our profit margins. If we do not help our clients quickly resolve any post-implementation issues and provide effective ongoing client support, our ability to sell additional products and services to existing and future clients could suffer and our reputation would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50545"/>
                <wp:effectExtent l="0" t="0" r="0" b="0"/>
                <wp:wrapNone/>
                <wp:docPr id="74" name="Frame7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sales cycles can be long and unpredictable, and our sales efforts require a considerable investment of time and expense. If our sales cycle lengthens or we invest substantial resources pursuing unsuccessful sales opportunities, our results of operations and growth would be harmed.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process entails planning discussions with prospective clients, analyzing their existing solutions, and identifying how these potential clients can use and benefit from our Solution. The sales cycle for a new DOS Subscription Client, from the time of prospect qualification to the completion of the first sale, we estimate to typically be approximately one year and in some cases has exceeded two years. We spend substantial time, effort, and money in our sales efforts without any assurance that our efforts will result in the sale of our Solution.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sales cycle and timing of sales can vary substantially from client to client because of various factors, including the discretionary nature of potential clients’ purchasing and budget decisions, the announcement or planned introduction of new analytics applications or services by us or our competitors, and the purchasing approval processes of potential clients. Further, the sales cycles of certain Solutions with a more limited operating history, such as TEMS, can be more difficult to predict and, at times, longer than our typical sales cycle. If our sales cycle lengthens, as we experienced in 2022 and 2023, or we invest substantial resources pursuing unsuccessful sales opportunities, our results of operations and growth would be harmed.</w:t>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Our Solution may not operate properly, which could damage our reputation, give rise to claims against us, or divert application of our resources from other purposes, any of which could harm our business and 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software development is time-consuming, expensive, and complex. Unforeseen difficulties can arise. We may encounter technical obstacles, and it is possible that we will discover additional problems that prevent our applications from operating properly. If our systems do not function reliably or fail to meet user or client expectations in terms of performance, clients could assert liability claims against us or attempt to cancel their contracts with us, and users of our software could choose to cease their use of our Solution. This could damage our reputation and impair our ability to attract or retain clients.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services as complex as those we offer have, in the past, contained, and may in the future develop or contain, undetected defects, vulnerabilities, or errors. We cannot be assured that material performance problems or defects in our software or software provided by our vendors will not arise in the future. Errors may result from sources beyond our control, including the receipt, entry, or interpretation of patient information; the interface of our software with legacy systems or vendor systems that we did not develop; or errors in data provided by third parties. Despite testing, defects or errors may arise in our existing or new software or service processes following introduction to the market.</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Clients rely on our Solution to collect, manage, and report clinical, financial, and operational data, and to provide timely and accurate information regarding medical treatment and care delivery patterns. They may have a greater sensitivity to service errors and security vulnerabilities than clients of software products in general.</w:t>
      </w:r>
      <w:r>
        <w:rPr>
          <w:color w:val="000000"/>
        </w:rPr>
        <w:t xml:space="preserve"> </w:t>
      </w:r>
      <w:r>
        <w:rPr>
          <w:rFonts w:ascii="Times New Roman;sans-serif" w:hAnsi="Times New Roman;sans-serif"/>
          <w:b w:val="false"/>
          <w:color w:val="000000"/>
          <w:sz w:val="20"/>
        </w:rPr>
        <w:t>Clinicians may also refer to our predictive models for care delivery prioritization, and to inform treatment protocols.</w:t>
      </w:r>
      <w:r>
        <w:rPr>
          <w:color w:val="000000"/>
        </w:rPr>
        <w:t xml:space="preserve"> </w:t>
      </w:r>
      <w:r>
        <w:rPr>
          <w:rFonts w:ascii="Times New Roman;sans-serif" w:hAnsi="Times New Roman;sans-serif"/>
          <w:b w:val="false"/>
          <w:color w:val="000000"/>
          <w:sz w:val="20"/>
        </w:rPr>
        <w:t>Limitations of liability and disclaimers that purport to limit our liability for damages related to defects in our software or content which we may include in our subscription and services agreements may not be enforced by a court or other tribunal or otherwise effectively protect us from related claims. In most cases, we maintain liability insurance coverage, including coverage for errors and omissions. However, it is possible that claims could exceed the amount of our applicable insurance coverage or that this coverage may not continue to be available on acceptable terms or in sufficient amounts.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light of this, defects, vulnerabilities, and errors and any failure by us to identify and address them could result in loss of revenue or market share; liability to clients, clinicians, their patients, or others; failure to achieve market acceptance or expansion; diversion of development and management resources; delays in the introduction of new services; injury to our reputation; and increased service and maintenance costs. </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50545"/>
                <wp:effectExtent l="0" t="0" r="0" b="0"/>
                <wp:wrapNone/>
                <wp:docPr id="75" name="Frame7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Defects, vulnerabilities, or errors in our software and service processes might discourage existing or potential clients from purchasing services from us. Correction of defects, vulnerabilities, or errors could prove to be impossible or impractical. The costs incurred in correcting any defects, vulnerabilities, or errors or in responding to resulting claims or liability may be substantial and could adversely affect our results of operations.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If we are not able to maintain and enhance our reputation and brand recognition, our business and results of operations will be harmed.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maintaining and enhancing our reputation and brand recognition is critical to our relationships with existing clients and to our ability to attract new clients. The promotion of our brands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factor that diminishes our reputation or that of our management, including failing to meet the expectations of our clients, or any adverse publicity surrounding one of our investors or clients, could make it substantially more difficult for us to attract new clients. If we do not successfully maintain and enhance our reputation and brand recognition, our business may not grow and we could lose our relationships with clients, which would harm our business, results of operations, and financial condition.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do not continue to innovate and provide services that are useful to clients and users, we may not remain competitive, and our revenue and results of operations could suffer.</w:t>
      </w:r>
    </w:p>
    <w:p>
      <w:pPr>
        <w:pStyle w:val="TextBody"/>
        <w:bidi w:val="0"/>
        <w:spacing w:before="0" w:after="0"/>
        <w:jc w:val="both"/>
        <w:rPr/>
      </w:pPr>
      <w:r>
        <w:rPr/>
      </w:r>
    </w:p>
    <w:p>
      <w:pPr>
        <w:pStyle w:val="TextBody"/>
        <w:bidi w:val="0"/>
        <w:spacing w:lineRule="auto" w:line="285"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healthcare in the United States is in the early stages of structural change and is rapidly evolving, including towards a more value-based care model. Our success depends on our ability to keep pace with technological developments, satisfy increasingly sophisticated client and user requirements, and sustain market acceptance. Our future financial performance will depend in part on growth in this market and on our ability to adapt to emerging demands of this market, including adapting to the ways our clients or users access and use our Solution. Although we have built several new software analytics applications in the last few years, we may not be able to sustain this rate of innovation and/or the new software analytics applications may not meet the evolving needs of our clients. Our competitors are constantly developing products and services that may become more efficient or appealing to our clients or users. As a result, we must continue to invest significant resources in research and development in order to enhance our existing services and applications, and introduce new high-quality services and applications that clients will want, while offering our Solution at competitive prices. If we are unable to predict user preferences or industry changes, or if we are unable to maintain and improve our Solution on a timely or cost-effective basis, we may lose clients and users. Our results of operations would also suffer if our innovations are not responsive to the needs of our clients, are not appropriately timed with market opportunity, or are not effectively brought to market, including as the result of delayed releases or releases that are ineffective or have errors or defects. As technology continues to develop, our competitors may be able to offer results that are, or that are perceived to be, substantially similar to, or better than, those generated by our Solution. This may force us to compete on additional service attributes and to expend significant resources in order to remain competitive.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business could be adversely affected if our clients are not satisfied with our Solution.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client satisfaction to succeed with respect to our Solution. Our sales organization is dependent on the quality of our offerings, our business reputation, and the strong recommendations from existing clients. If our Solution does not function reliably or fails to meet client expectations in terms of performance and availability, clients could assert claims against us, terminate their contracts with us or publish negative feedback. This could damage our reputation and impair our ability to attract or retain clients. Furthermore, we provide professional services to clients to support their use of our Solution and to achieve measurable clinical, financial, and operational improvements.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50545"/>
                <wp:effectExtent l="0" t="0" r="0" b="0"/>
                <wp:wrapNone/>
                <wp:docPr id="76" name="Frame7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to maintain high-quality professional services, or a market perception that we do not maintain high-quality professional services, could harm our reputation, adversely affect our ability to sell our Solution to existing and prospective clients, and harm our business, results of operations, and financial condition.</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If our existing clients do not continue or renew their contracts with us, renew at lower fee levels, or decline to purchase additional technology and services from us, it could have a material adverse effect on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derive a significant portion of our revenue from the renewal of existing client contracts and sales of additional technology and services to existing clients. As part of our growth strategy, for instance, we have recently focused on expanding our Solution among current clients, including Solutions with a more limited operating history, such as TEMS. As a result, selling additional technology and services is critical to our future business, revenue growth, and results of operations. Factors that may affect our ability to sell additional technology and services include, but are not limited to, the following:</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the price, performance, and functionality of our Solution;</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the availability, price, performance, and functionality of competing solutions;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our ability to develop and sell complementary technology and services;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the stability, performance, and security of our hosting infrastructure and hosting services;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our ability to continuously deliver measurable improvements;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health systems’ demand for professional services to augment their internal data analytics function;</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 xml:space="preserve">changes in healthcare laws, regulations, or trends;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the business environment of our clients and, in particular, our clients’ financial performance and headcount reductions by our clients;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the impact of macroeconomic challenges, including the impact of high inflationary and/or high interest rate environments, market volatility caused by bank failures and measures taken in response thereto, the tight labor market, and the impact of any natural disasters or public health emergencies, such as the COVID-19 pandemic, upon our clients.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enter into subscription contracts with our clients for access to our Solution. Many of these contracts have initial terms of one to three years. Most of our clients have no obligation to renew their subscriptions for our Solution after the initial term expires. Although we have long-term contracts with many clients, these contracts may be terminated by the client (generally, subject to providing us with prior notice before their term expires) for convenience or for certain specified reasons, including changes in the regulatory landscape, loss of certain third-party licenses, or breach of our contractual obligations, including poor performance by us in areas that include repeated failures by us to provide specified levels of service over certain performance periods. We expect that future contracts will contain similar provisions. If any of our contracts with our clients are terminated, we may not be able to recover all fees due under the terminated contract and we will lose future revenue from that client, which may adversely affect our results of operations.</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clients may negotiate terms less advantageous to us upon renewal, which may reduce our revenue from these clients. Our future results of operations also depend, in part, on our ability to upgrade and enhance our Solution. If our clients fail to renew their contracts, renew their contracts upon less favorable terms, or at lower fee levels or fail to purchase new technology and services from us, our revenue may decline or our future revenue growth may be constrained.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50545"/>
                <wp:effectExtent l="0" t="0" r="0" b="0"/>
                <wp:wrapNone/>
                <wp:docPr id="77" name="Frame7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24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have in the past fluctuated and may continue to fluctuate significantly, and if we fail to meet the expectations of securities analysts or investors, our stock price and the value of an investment in our common stock could decline substantially.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are likely to fluctuate, and if we fail to meet or exceed the expectations of securities analysts or investors, the trading price of our common stock could decline. Moreover, our stock price may be based on expectations of our future performance that may be unrealistic or that may not be met. Some of the factors that could cause our financial performance and results of operations to fluctuate from quarter to quarter include: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the extent to which our Solution achieves or maintains market acceptance;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our ability to introduce new applications, updates, and enhancements to our existing applications on a timely basis;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new competitors and the introduction of enhanced products and services from new or existing competitors;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the length of our contracting and implementation cycles and our fulfillment periods for our Solution;</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the mix of revenue generated from professional services as compared to technology subscriptions;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clients reducing or eliminating their spend with us in response to macroeconomic factors or otherwise;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the financial condition of our current and future clients;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changes in client budgets and procurement policies;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changes in regulations or marketing strategies;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the impact of macroeconomic challenges, including the high inflationary and/or high interest rate environments, market volatility caused by bank failures and measures taken in response thereto, and public health crises, such as the COVID-19 pandemic, on our clients, partners, and business;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the amount and timing of our investment in research and development activities;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the amount and timing of our investment in sales and marketing activities;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technical difficulties or interruptions to our Solution, including related to updates to our technology or technology migrations;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our ability to hire and retain qualified personnel;</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changes in the regulatory environment related to healthcare;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regulatory compliance costs;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 xml:space="preserve">the timing, size, and integration success of potential future acquisitions;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unforeseen legal expenses, including litigation and settlement costs;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buying patterns of our clients and the related seasonality impacts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50545"/>
                <wp:effectExtent l="0" t="0" r="0" b="0"/>
                <wp:wrapNone/>
                <wp:docPr id="78" name="Frame7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these factors are not within our control, and the occurrence of one or more of them might cause our results of operations to vary widely. For example, we have experienced, and expect that we will continue to experience, seasonality in the number of new clients that subscribe to our Solution; specifically, new clients (DOS Subscription Clients in particular) tend to subscribe to our Solution at higher rates in the second and fourth quarters of the year. Seasonality in our business may cause period-to-period fluctuations in certain of our operating results and financial metrics, and thus limit our ability to predict our future results. As such, we believe that quarter-to-quarter comparisons of our revenue and results of operations may not be meaningful and should not be relied upon as an indication of future performance.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operating expense is relatively fixed in nature in the short term, and planned expenditures are based in part on expectations regarding future revenue and profitability. Accordingly, unexpected revenue shortfalls, lower-than-expected revenue increases as a result of planned expenditures, and longer-than-expected impact on profitability and margins as a result of planned expenditures may decrease our gross margins and profitability and could cause significant changes in our results of operations from quarter to quarter. In addition, our future quarterly results of operations may fluctuate and may not meet the expectations of securities analysts or investors. If this occurs, the trading price of our common stock could fall substantially, either suddenly or over time.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pricing may change over time and our ability to efficiently price our Solution will affect our results of operations and our ability to attract or retain clients.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we have adjusted our prices as a result of offering new applications and services and client demand. For example, in the fourth quarter of 2018, we began to introduce new pricing for our Solution to new clients and, in 2015, we introduced our subscription model, in each case, the full effect of which we expected would be realized in future years. While we determine our prices based on prior experience, feedback from clients, and other factors and information, our assessments may not be accurate and we could be underpricing or overpricing our Solution, which may require us to continue to adjust our pricing model. Furthermore, as our applications and services change, then we may need to, or choose to, revise our pricing as our prior experience in those areas will be limited. Such changes to our pricing model or our inability to efficiently price our Solution could harm our business, results of operations, and financial condition and impact our ability to predict our future performance.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If our Solution fails to provide accurate and timely information, or if our content or any other element of our Solution is associated with faulty clinical decisions or treatment, we could have liability to clients, clinicians, patients, or others, which could adversely affect our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Solution may be used by clients to support clinical decision-making by providers and interpret information about patient medical histories, treatment plans, medical conditions, and the use of particular medications. If our Solution is associated with faulty clinical decisions or treatment, then clients or their patients could assert claims against us that could result in substantial costs to us, harm our reputation in the industry, and cause demand for our Solution to decline. In addition, our analytics services may be used by our clients to inform clinical decision-making, provide access to patient medical histories, and assist in creating patient treatment plans. Therefore, if data analyses are presented incorrectly in our Solution or they are incomplete, or if we make mistakes in the capture or input of these data, adverse consequences, including death, may occur and give rise to product liability, medical malpractice liability, and other claims against us by clients, clinicians, patients, or others. We often have little control over data accuracy, yet a court or government agency may take the position that our storage and display of health information exposes us to personal injury liability or other liability for wrongful delivery or handling of healthcare services or erroneous health information.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clinical guidelines, algorithms, and protocols may be viewed as providing healthcare professionals with guidance on care management, care coordination, or treatment decisions. If our content, or content we obtain from third parties, contains inaccuracies, or we introduce inaccuracies in the process of implementing third-party content, it is possible that patients, clinicians, consumers, the providers of the third-party content, or others may sue us if they are harmed as a result of such inaccuracies. We cannot assure you that our software development, editorial, and other quality control procedures will be sufficient to ensure that there are no errors or omissions in any particular content or our software or algorithms.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50545"/>
                <wp:effectExtent l="0" t="0" r="0" b="0"/>
                <wp:wrapNone/>
                <wp:docPr id="79" name="Frame7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assertion of such claims and ensuing litigation, regardless of its outcome, could result in substantial cost to us, divert management’s attention from operations, damage our reputation, and decrease market acceptance of our Solution. We attempt to limit by contract our liability for damages, have our clients assume responsibility for clinical treatment, diagnoses, medical oversight, and dosing decisions, and require that our clients assume responsibility for medical care and approve key algorithms, clinical guidelines, clinical protocols, content, and data. Despite these precautions, the allocations of responsibility and limitations of liability set forth in our contracts may not be enforceable, be binding upon patients, or otherwise protect us from liability for damages. Furthermore, general liability and errors and omissions insurance coverage and medical malpractice liability coverage may not continue to be available on acceptable terms or may not be available in sufficient amounts to cover one or more large claims against us. In addition, the insurer might disclaim coverage as to any future claim. One or more large claims could exceed our available insurance coverage. If any of these events occur, they could materially adversely affect our business, financial condition, or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carry insurance covering medical malpractice claims in amounts that we believe are appropriate in light of the risks attendant to our business, successful medical liability claims could result in substantial damage awards that exceed the limits of our insurance coverage. In addition, professional liability insurance is expensive and insurance premiums may increase significantly in the future, particularly as we expand our Solution. As a result, adequate professional liability insurance may not be available to our providers or to us in the future at acceptable costs or at all.</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claims made against us that are not fully covered by insurance could be costly to defend against, result in substantial damage awards against us, and divert the attention of our management and our providers from our operations, which could have a material adverse effect on our business, financial condition, and results of operations. In addition, any claims may adversely affect our business or reputation.</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Future litigation against us could be costly and time-consuming to defend and could result in additional liabilities.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from time to time be subject to legal proceedings and claims that arise in the ordinary course of business, such as claims brought by our clients or vendors in connection with commercial disputes, litigation related to intellectual property, and employment claims made by our current or former employees. Claims may also be asserted by or on behalf of a variety of other parties, including government agencies, patients or vendors of our clients, or stockholders. Any litigation involving us may result in substantial costs, operationally restrict our business, and may divert management’s attention and resources, which may seriously harm our business, overall financial condition, and results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Insurance may not cover existing or future claims, be sufficient to fully compensate us for one or more of such claims, or continue to be available on terms acceptable to us. A claim brought against us that is uninsured or underinsured could result in unanticipated costs, thereby reducing our results of operations and resulting in a reduction in the trading price of our stock.</w:t>
      </w:r>
    </w:p>
    <w:p>
      <w:pPr>
        <w:pStyle w:val="TextBody"/>
        <w:bidi w:val="0"/>
        <w:spacing w:before="0" w:after="0"/>
        <w:ind w:left="0" w:right="0" w:firstLine="360"/>
        <w:jc w:val="both"/>
        <w:rPr/>
      </w:pPr>
      <w:r>
        <w:rPr/>
      </w:r>
    </w:p>
    <w:p>
      <w:pPr>
        <w:pStyle w:val="TextBody"/>
        <w:bidi w:val="0"/>
        <w:spacing w:lineRule="auto" w:line="247" w:before="0" w:after="0"/>
        <w:jc w:val="both"/>
        <w:rPr>
          <w:rFonts w:ascii="Times New Roman;sans-serif" w:hAnsi="Times New Roman;sans-serif"/>
          <w:b/>
          <w:i/>
          <w:color w:val="000000"/>
          <w:sz w:val="20"/>
        </w:rPr>
      </w:pPr>
      <w:r>
        <w:rPr>
          <w:rFonts w:ascii="Times New Roman;sans-serif" w:hAnsi="Times New Roman;sans-serif"/>
          <w:b/>
          <w:i/>
          <w:color w:val="000000"/>
          <w:sz w:val="20"/>
        </w:rPr>
        <w:t>We derive a significant portion of our revenue from our largest clients. The loss, termination, or renegotiation of any contract could negatively impact our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relied on a limited number of clients for a significant portion of our total revenue and accounts receivable. Our three largest clients during 2023 comprised 5.5%, 3.6%, and 3.5% of our revenue, or 12.6% in the aggregate. Our three largest clients during 2022 comprised 4.1%, 3.7%, and 3.4% of our revenue, or 11.2% in the aggregate. The sudden loss of any of our largest clients or the renegotiation of any of our largest client contracts could adversely affect our results of operations. In the ordinary course of business, we engage in active discussions and renegotiations with our clients in respect of our Solution and the terms of our client agreements, including our fees. As our clients’ businesses respond to market dynamics and financial pressures, and as our clients make strategic business decisions in respect of the lines of business they pursue and programs in which they participate, we expect that certain of our clients will, from time to time, seek to restructure their agreements with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50545"/>
                <wp:effectExtent l="0" t="0" r="0" b="0"/>
                <wp:wrapNone/>
                <wp:docPr id="80" name="Frame8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we renegotiate the terms of our agreements with our clients in connection with renewals or extensions of these agreements. These discussions and future discussions could result in reductions to the fees and changes to the scope of services contemplated by our original client contracts and consequently could negatively impact our revenue, business, and prospects.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rely on a limited number of clients for a significant portion of our revenue, we depend on the creditworthiness of these clients. Our clients are subject to a number of risks including reductions in payment rates from governmental payors, higher than expected healthcare costs, and lack of predictability of financial results when entering new lines of business. If the financial condition of our clients declines, our credit risk could increase. Should one or more of our significant clients declare bankruptcy, be declared insolvent, or otherwise be restricted by state or federal laws or regulation from continuing in some or all of their operations, this could adversely affect our ongoing revenue, the collectability of our accounts receivable, our bad debt reserves and net income. In early May 2024, one of our clients, Steward Health Care, filed a voluntary petition for reorganization under Chapter 11 of the U.S. Bankruptcy Code. As of June 30, 2024, this client’s outstanding balance represented approximately 15% of our outstanding accounts receivable. We are currently unable to predict the outcome of this matter, including whether and to what extent we may incur a credit loss and whether the outcome of this matter may have other negative impacts on our results and our company.</w:t>
      </w:r>
    </w:p>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i/>
          <w:color w:val="000000"/>
          <w:sz w:val="20"/>
        </w:rPr>
      </w:pPr>
      <w:r>
        <w:rPr>
          <w:rFonts w:ascii="Times New Roman;sans-serif" w:hAnsi="Times New Roman;sans-serif"/>
          <w:b/>
          <w:i/>
          <w:color w:val="000000"/>
          <w:sz w:val="20"/>
        </w:rPr>
        <w:t>Because we generally recognize technology and professional services revenue ratably over the term of the contract for our services, a significant downturn in our business may not be reflected immediately in our results of operations, which increases the difficulty of evaluating our future financial performance.</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recognize technology and professional services revenue ratably over the term of a contract. As a result, a substantial portion of our revenue is generated from contracts entered into during prior periods. Consequently, a decline in new contracts in any quarter may not affect our results of operations in that quarter but could reduce our revenue in future quarters. Additionally, the timing of renewals or non-renewals of a contract during any quarter may only affect our financial performance in future quarters. For example, the non-renewal of a subscription agreement late in a quarter will have minimal impact on revenue for that quarter but will reduce our revenue in future quarters. Accordingly, the effect of significant declines in sales may not be reflected in our short-term results of operations, which would make these reported results less indicative of our future financial results. By contrast, a non-renewal occurring early in a quarter may have a significant negative impact on revenue for that quarter and we may not be able to offset a decline in revenue due to non-renewal with revenue from new contracts entered into in the same quarter. In addition, we may be unable to quickly adjust our costs in response to reduced revenue.</w:t>
      </w:r>
    </w:p>
    <w:p>
      <w:pPr>
        <w:pStyle w:val="TextBody"/>
        <w:bidi w:val="0"/>
        <w:spacing w:lineRule="auto" w:line="247" w:before="0" w:after="240"/>
        <w:jc w:val="both"/>
        <w:rPr>
          <w:rFonts w:ascii="Times New Roman;sans-serif" w:hAnsi="Times New Roman;sans-serif"/>
          <w:b/>
          <w:i/>
          <w:color w:val="000000"/>
          <w:sz w:val="20"/>
        </w:rPr>
      </w:pPr>
      <w:r>
        <w:rPr>
          <w:rFonts w:ascii="Times New Roman;sans-serif" w:hAnsi="Times New Roman;sans-serif"/>
          <w:b/>
          <w:i/>
          <w:color w:val="000000"/>
          <w:sz w:val="20"/>
        </w:rPr>
        <w:t>If we are unable to implement and maintain effective internal controls over financial reporting, investors may lose confidence in the accuracy and completeness of our financial reports and the market price of our common stock could be adversely affected.</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As a public company, we are required to maintain internal controls over financial reporting and to report any material weaknesses in such internal controls. Section 404 of the Sarbanes-Oxley Act requires that we evaluate and determine the effectiveness of our internal controls over financial reporting.</w:t>
      </w:r>
      <w:r>
        <w:rPr>
          <w:color w:val="000000"/>
        </w:rPr>
        <w:t xml:space="preserve"> </w:t>
      </w:r>
      <w:r>
        <w:rPr>
          <w:rFonts w:ascii="Times New Roman;sans-serif" w:hAnsi="Times New Roman;sans-serif"/>
          <w:b w:val="false"/>
          <w:color w:val="000000"/>
          <w:sz w:val="20"/>
        </w:rPr>
        <w:t xml:space="preserve">We are also required to provide an annual management report on the effectiveness of our internal control over financial reporting. Many of the internal controls we have implemented pursuant to the Sarbanes-Oxley Act are process controls with respect to which a material weakness may be found whether or not any error has been identified in our reported financial statements. This may be confusing to investors and result in damage to our reputation, which may harm our business. Additionally, the proper design and assessment of internal controls over financial reporting are subject to varying interpretations, and, as a result, application in practice may evolve over time as new guidance is provided by regulatory and governing bodies and as common practices evolve. This could result in continuing uncertainty regarding the proper design and assessment of internal controls over financial reporting and higher costs necessitated by ongoing revisions to internal controls. We must continue to monitor and assess our internal control over financial reporting. If in the future we have any material weaknesses, we may not detect errors on a timely basis and our financial statements may be materially misstated.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50545"/>
                <wp:effectExtent l="0" t="0" r="0" b="0"/>
                <wp:wrapNone/>
                <wp:docPr id="81" name="Frame8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we are unable to comply with the requirements of Section 404 of the Sarbanes-Oxley Act, are unable to assert that our internal controls over financial reporting are effective, identify material weaknesses in our internal controls over financial reporting,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 any of which could have an adverse effect on our business, financial condition, and results of operations.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We may seek to acquire or invest in businesses, applications, services, or technologies that we believe could complement or expand our Solution,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We have in the past and may in the future have difficulty integrating acquired businesses.</w:t>
      </w:r>
      <w:r>
        <w:rPr>
          <w:color w:val="000000"/>
        </w:rPr>
        <w:t xml:space="preserve"> </w:t>
      </w:r>
      <w:r>
        <w:rPr>
          <w:rFonts w:ascii="Times New Roman;sans-serif" w:hAnsi="Times New Roman;sans-serif"/>
          <w:b w:val="false"/>
          <w:color w:val="000000"/>
          <w:sz w:val="20"/>
        </w:rPr>
        <w:t>During 2020 we acquired Able Health, Healthfinch, and Vitalware, during 2021 we acquired Twistle, during 2022 we acquired ARMUS and KPI Ninja, during 2023 we acquired ERS, and during 2024 we acquired Carevive and Lumeon. We may have difficulty cross-selling our Solution to acquired clients, and we may have difficulty integrating, or incur integration-related costs associated with, newly acquired team members.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limited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 but not limited to:</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inability to integrate or benefit from acquired technologies or services in a profitable manner;</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unanticipated costs or liabilities associated with the acquisition;</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difficulty integrating the accounting systems, operations, and personnel of the acquired business;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difficulties and additional expenses associated with supporting legacy products and hosting infrastructure of the acquired business;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difficulty converting the clients of the acquired business onto our DOS platform and contract terms, including disparities in the revenue, licensing, support, or professional services model of the acquired business;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diversion of management’s attention from other business concerns;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adverse effects on our existing business relationships with business partners and clients as a result of the acquisition;</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the potential loss of key employees;</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use of resources that are needed in other parts of our business; and</w:t>
      </w:r>
    </w:p>
    <w:p>
      <w:pPr>
        <w:pStyle w:val="TextBody"/>
        <w:bidi w:val="0"/>
        <w:spacing w:lineRule="auto" w:line="247" w:before="0" w:after="180"/>
        <w:ind w:left="0" w:right="0" w:hanging="360"/>
        <w:jc w:val="both"/>
        <w:rPr/>
      </w:pPr>
      <w:r>
        <w:rPr>
          <w:color w:val="000000"/>
        </w:rPr>
        <w:t>•</w:t>
      </w:r>
      <w:r>
        <w:rPr>
          <w:rFonts w:ascii="Times New Roman;sans-serif" w:hAnsi="Times New Roman;sans-serif"/>
          <w:b w:val="false"/>
          <w:color w:val="000000"/>
          <w:sz w:val="20"/>
        </w:rPr>
        <w:t>use of substantial portions of our available cash to consummate the acquisition.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significant portion of the purchase price of companies we acquire may be allocated to acquired goodwill and other intangible assets, which must be assessed for impairment at least annually. If our acquisitions do not yield expected returns or fair value estimates deteriorate, we may be required to take charges to our results of operations based on this impairment assessment process, which could adversely affect our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50545"/>
                <wp:effectExtent l="0" t="0" r="0" b="0"/>
                <wp:wrapNone/>
                <wp:docPr id="82" name="Frame8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Acquisitions could also result in dilutive issuances of equity securities or the incurrence of debt, which could adversely affect our results of operations. In addition, if an acquired business fails to meet our expectations, our business, financial condition, and results of operations may suffer. Also, the anticipated benefit of any acquisition may not materialize or may be prohibited by contractual obligations we may enter into in the future with lenders or other third parties.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acquisitions, or the effect that any such transactions might have on our results of operations.</w:t>
      </w:r>
    </w:p>
    <w:p>
      <w:pPr>
        <w:pStyle w:val="TextBody"/>
        <w:bidi w:val="0"/>
        <w:spacing w:lineRule="auto" w:line="247" w:before="0" w:after="240"/>
        <w:jc w:val="both"/>
        <w:rPr>
          <w:rFonts w:ascii="Times New Roman;sans-serif" w:hAnsi="Times New Roman;sans-serif"/>
          <w:b/>
          <w:i/>
          <w:color w:val="000000"/>
          <w:sz w:val="20"/>
        </w:rPr>
      </w:pPr>
      <w:r>
        <w:rPr>
          <w:rFonts w:ascii="Times New Roman;sans-serif" w:hAnsi="Times New Roman;sans-serif"/>
          <w:b/>
          <w:i/>
          <w:color w:val="000000"/>
          <w:sz w:val="20"/>
        </w:rPr>
        <w:t>Because competition for our target employees is intense, we may not be able to attract and retain the highly skilled employees we need to support our continued growth.</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continue to execute on our growth and operating plan, we must attract and retain highly qualified personnel, and we may modify our compensation program and practices for our team members. Competition for such personnel is intense, especially for senior sales executives and software engineers with high levels of experience in designing and developing applications and consulting and analytics services. We may not be successful in attracting and retaining qualified personnel, including due to changes to our compensation program or practices. We have from time to time in the past experienced, and we expect to continue to experience in the future, difficulty in hiring and retaining highly skilled employees with appropriate qualifications. For example, the 2023 Restructuring Plan and other restructurings may result in attrition beyond our intended reduction in force or may adversely impact our ability to recruit and hire qualified personnel in the future. In addition, our search for replacements for departed employees may cause uncertainty regarding the future of our business, impact employee hiring and retention, and adversely impact our revenue, results of operations, and financial condition. Many of the companies with which we compete for experienced personnel have greater resources than we have. In addition, in making employment decisions, particularly in the Internet and high-technology industries, job candidates often consider the value of the equity awards they may receive in connection with their employment. Volatility in the price of our stock or failure to obtain stockholder approval for increases in the number of shares available for grant under our equity plans may, therefore, adversely affect our ability to attract or retain key employees. If we fail to attract new personnel or fail to retain and motivate our current personnel, our business and future growth prospects could be severely harmed.</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depend on our senior management team, and the loss of one or more of our executive officers or key employees or an inability to attract and retain highly skilled employees could adversely affect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largely upon the continued services of our key executive officers and recruitment of additional highly skilled employees. From time to time, there may be changes in our senior management team resulting from the hiring or departure of executives, which could disrupt our business. Several of our senior leaders are active members of the Church of Jesus Christ of Latter-Day Saints. There is a risk that in the future, one or more of these individuals could receive a call to serve in a full-time capacity for the church, which has already occurred, including with our former Chief Operating Officer, Paul Horstmeier, who stepped down from his role of Chief Operating Officer effective March 31, 2023. Hiring executives with needed skills or the replacement of one or more of our executive officers or other key employees would likely involve significant time and costs and may significantly delay or prevent the achievement of our business objectives. In addition, competition for qualified management in our industry is intense. Many of the companies with which we compete for management personnel have greater financial and other resources than we do. We have not entered into term-based employment agreements with our executive officers.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employees are “at-will” employees, and their employment can be terminated by us or them at any time, for any reason. The departure of key personnel could adversely affect the conduct of our business. In such event, we would be required to hire other personnel to manage and operate our business, and there can be no assurance that we would be able to employ a suitable replacement for the departing individual, or that a replacement could be hired on terms that are favorable to us. In addition, volatility or lack of performance in our stock price may affect our ability to attract replacements should key personnel depart. If we are not able to retain any of our key management personnel, our business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50545"/>
                <wp:effectExtent l="0" t="0" r="0" b="0"/>
                <wp:wrapNone/>
                <wp:docPr id="83" name="Frame8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corporate culture has contributed to our success, and if we cannot maintain this culture as we grow, we could lose the innovation, creativity, and teamwork fostered by our culture, which could harm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corporate culture has been an important contributor to our success, which we believe fosters innovation, teamwork, and passion for providing high levels of client satisfaction. As we continue to grow, we must effectively integrate, develop, and motivate a growing number of new employees. As a result, we may find it difficult to maintain our corporate culture, which could limit our ability to innovate and operate effectively. Any failure to preserve our culture could also negatively affect our ability to retain and recruit personnel, maintain our performance, or execute on our business strategy.</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If we fail to effectively manage our growth and organizational change, our business and results of operations could be harmed.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and may continue to experience, rapid growth and organizational change, which has placed, and may continue to place, significant demands on our management, operational, and financial resources. In addition, if we fail to successfully integrate new team members or fail to effectively manage organizational changes, it could harm our culture, business, financial condition and results of operations. For example, the expense reduction measures taken in connection with the 2023 Restructuring Plan may result in unintended consequences and costs, including costs associated with attrition beyond our intended reduction in force, a decrease in morale among team members following the completion of the 2023 Restructuring Plan, adverse impacts in our ability to recruit and hire qualified personnel in the future, and the loss of institutional knowledge and expertise, which could result in losses in future periods or otherwise prevent us from realizing, in full or in part, the anticipated benefits and savings from the 2023 Restructuring Plan. In addition, we must continue to maintain, and may need to enhance, our information technology infrastructure and financial and accounting systems and controls, as well as manage expanded operations in geographically distributed locations, which may include offshore and near shore, which will place additional demands on our resources and operations. We also must attract, train, and retain a significant number of qualified sales and marketing personnel, professional services personnel, software engineers, technical personnel, service offering personnel, and management personnel. At times, this will require us to invest in and commit significant financial, operational, and management resources to grow and change in these areas without undermining the corporate culture that has been critical to our growth so far. If we do not achieve the benefits anticipated from these investments or organizational changes, or if the realization of these benefits is delayed, our results of operations may be adversely affected. If we fail to provide effective client training on our Solution and high-quality client support, our business and reputation could suffer.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effectively manage our growth or organizational changes could lead us to over-invest or under-invest in technology and operations; result in weaknesses in our infrastructure, systems, or controls; give rise to operational mistakes, losses, or loss of productivity or business opportunities; reduce client or user satisfaction; limit our ability to respond to competitive pressures; and result in loss of team members and reduced productivity of remaining team members. Our growth or organizational changes could require significant capital expenditures and may divert financial resources and management attention from other projects, such as the development of new or enhanced services or the acquisition of suitable businesses or technologies. If our management is unable to effectively manage our growth or organizational changes, our expenses may increase more than expected, cost savings may not be realized, our revenue could decline or may grow more slowly than expected, and we may be unable to implement our business strategy, and may adversely affect our business, financial condition and results of operations.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not grow at the rates we historically have achieved or at all, even if our key metrics may indicate growth.</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periods of significant growth, including in the last five years. At times, our growth has moderated. Future revenue may not grow at the same rates experienced during times of significant growth or may decline. Further, larger revenue opportunities that include portions of our Solution with less operating history could cause our growth to become less predictable and/or choppier relative to prior periods. Our future growth will depend, in part, on our ability to grow our revenue from existing clients, to complete sales to potential future clients, to expand our client and member bases, to prevent churn of existing clients, and to develop new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50545"/>
                <wp:effectExtent l="0" t="0" r="0" b="0"/>
                <wp:wrapNone/>
                <wp:docPr id="84" name="Frame8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Our future growth may also be driven by expansion into adjacent markets and/or international expansion. We can provide no assurances that we will be successful in executing on these growth strategies or that we will continue to grow our revenue or to generate net income. Our historical results may not be indicative of future performance.</w:t>
      </w:r>
      <w:r>
        <w:rPr>
          <w:color w:val="000000"/>
        </w:rPr>
        <w:t xml:space="preserve"> </w:t>
      </w:r>
      <w:r>
        <w:rPr>
          <w:rFonts w:ascii="Times New Roman;sans-serif" w:hAnsi="Times New Roman;sans-serif"/>
          <w:b w:val="false"/>
          <w:color w:val="000000"/>
          <w:sz w:val="20"/>
        </w:rPr>
        <w:t>Our ability to execute on our existing sales pipeline, create additional sales pipelines, and expand our client base depends on, among other things, the attractiveness of our Solution relative to those offered by our competitors, our ability to demonstrate the value of our existing and future services, and our ability to attract and retain a sufficient number of qualified sales and marketing leadership and support personnel. In addition, our existing clients may be slower to adopt our Solution than we currently anticipate, which could adversely affect our results of operations and growth prospects.</w:t>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market opportunity estimates and growth forecasts are subject to significant uncertainty and are based on assumptions and estimates which may not prove to be accurate. The estimates and forecasts relating to the size and expected growth of our target market may prove to be inaccurate. Even if the markets in which we compete meet the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lineRule="auto" w:line="247"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Data and Intellectual Property</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Failure by our clients to obtain proper permissions and waivers may result in claims against us or may limit or prevent our use of data, which could harm our business.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require our clients to provide necessary notices and to obtain necessary permissions and waivers for use and disclosure of the information that we receive, and we require contractual assurances from them that they have done so and will do so. If they do not obtain necessary permissions and waivers, then our use and disclosure of information that we receive from them or on their behalf may be restricted or prohibited by state, federal, or international privacy or data protection laws, or other related privacy and data protection laws. This could impair our functions, processes, and databases that reflect, contain, or are based upon such data and may prevent the use of such data, including our ability to provide such data to third parties that are incorporated into our service offerings. Furthermore, this may cause us to breach obligations to third parties to whom we may provide such data, such as third-party service or technology providers that are incorporated into our service offerings. In addition, this could interfere with or prevent data sourcing, data analyses, or limit other data-driven activities that benefit us.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we may be subject to claims, civil and/or criminal liability or government or state attorneys general investigations for use or disclosure of information by reason of lack of valid notice, permission, or waiver. These claims, liabilities or government or state attorneys general investigations could subject us to unexpected costs and adversely affect our financial condition and results of operations.</w:t>
      </w:r>
    </w:p>
    <w:p>
      <w:pPr>
        <w:pStyle w:val="TextBody"/>
        <w:bidi w:val="0"/>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and operations may suffer in the event of information technology system failures, cyberattacks, or deficiencies in our cybersecurity.</w:t>
      </w:r>
    </w:p>
    <w:p>
      <w:pPr>
        <w:pStyle w:val="TextBody"/>
        <w:bidi w:val="0"/>
        <w:spacing w:lineRule="auto" w:line="26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Solution involves the storage and transmission of our clients’ proprietary information, including personal or identifying information regarding patients and their protected health information (PHI). Despite the implementation of security measures, our information technology systems and those of our clients, contractors, consultants, and collaborators are vulnerable to attack, damage and interruption from cyberattacks, “phishing” attacks, computer viruses and malware (e.g., ransomware), natural disasters, terrorism, war, telecommunication and electrical failures, employee theft or misuse, human error, fraud, denial or degradation of service attacks, sophisticated nation-state and nation-state-supported actors or unauthorized access or use by persons inside our organization, or persons with access to systems inside our organization. Attacks upon information technology systems are increasing in their frequency, levels of persistence, sophistication, and intensity, and are being conducted by sophisticated and organized groups and individuals with a wide range of motives and expertise.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50545"/>
                <wp:effectExtent l="0" t="0" r="0" b="0"/>
                <wp:wrapNone/>
                <wp:docPr id="85" name="Frame8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face increased cybersecurity risks due to our reliance on internet technology and the number of our employees who are working remotely, which may create additional opportunities for cybercriminals to exploit vulnerabilities. Further, political and international uncertainty, competition and disputes, including the war involving Russia and Ukraine, could create tension that results in cyber-attacks or cybersecurity incidents that could either directly or indirectly impact our operations. Because the techniques used to obtain unauthorized access or sabotage systems change frequently and generally are not identified until they are launched against a target, we may be unable to anticipate these techniques or to implement adequate preventative measures. We may also experience security breaches that may remain undetected for an extended period. </w:t>
      </w:r>
    </w:p>
    <w:p>
      <w:pPr>
        <w:pStyle w:val="TextBody"/>
        <w:bidi w:val="0"/>
        <w:spacing w:lineRule="auto" w:line="26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the detection, prevention, and remediation of known or unknown security vulnerabilities, including those arising from third-party hardware or software, may result in additional direct or indirect costs and management time. Even if identified, we may be unable to adequately investigate or remediate incidents or breaches due to attackers increasingly using tools and techniques that are designed to circumvent controls, to avoid detection, and to remove or obfuscate forensic evidence. As a result, unauthorized access or security breaches as a result of third-party action, employee error, malfeasance, or otherwise could result in the loss or inappropriate use of information, litigation, indemnity obligations, damage to our reputation, and other liability such as government or state Attorney General investigations. </w:t>
      </w:r>
    </w:p>
    <w:p>
      <w:pPr>
        <w:pStyle w:val="TextBody"/>
        <w:bidi w:val="0"/>
        <w:spacing w:lineRule="auto" w:line="276"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adversely affect our ability to attract new clients, cause existing clients to elect to not renew their subscriptions, result in reputational damage, or subject us to third-party lawsuits, regulatory fines, mandatory disclosures, or other action or liability, which could adversely affect our results of operations. </w:t>
      </w:r>
    </w:p>
    <w:p>
      <w:pPr>
        <w:pStyle w:val="TextBody"/>
        <w:bidi w:val="0"/>
        <w:spacing w:lineRule="auto" w:line="276"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liability insurance may not be adequate to cover all potential claims to which we are exposed and may not be adequate to indemnify us for liability that may be imposed or the losses associated with such events, and in any case, such insurance may not cover all of the specific costs, expenses, and losses we could incur in responding to and remediating a security breach. A security breach of another significant provider of cloud-based solutions may also negatively impact the demand for our Solution.</w:t>
      </w:r>
    </w:p>
    <w:p>
      <w:pPr>
        <w:pStyle w:val="TextBody"/>
        <w:bidi w:val="0"/>
        <w:spacing w:lineRule="auto" w:line="244" w:before="0" w:after="0"/>
        <w:jc w:val="both"/>
        <w:rPr>
          <w:rFonts w:ascii="Times New Roman;sans-serif" w:hAnsi="Times New Roman;sans-serif"/>
          <w:b/>
          <w:i/>
          <w:color w:val="000000"/>
          <w:sz w:val="20"/>
        </w:rPr>
      </w:pPr>
      <w:r>
        <w:rPr>
          <w:rFonts w:ascii="Times New Roman;sans-serif" w:hAnsi="Times New Roman;sans-serif"/>
          <w:b/>
          <w:i/>
          <w:color w:val="000000"/>
          <w:sz w:val="20"/>
        </w:rPr>
        <w:t>Our Solution is dependent on our ability to source data from third parties, and such third parties could take steps to block our access to data, or increase fees or impose fees for such access, which could impair our ability to provide our Solution, limit the effectiveness of our Solution or adversely affect our financial condition and results of operations.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data platform requires us to source data from multiple clinical, financial, and operational data sources, which sources are also typically third-party vendors of our clients. The functioning of our analytics applications and our ability to perform analytics services is predicated on our ability to establish interfaces that download the relevant data from these source systems on a repeated basis and in a reliable manner. We may encounter vendors that engage in information blocking practices that may inhibit our ability to access the relevant data on behalf of clients or impose new or additional costs. In 2020, the U.S. Department of Health and Human Services’ Office of the National Coordinator for Health Information Technology (ONC) and the Centers for Medicare and Medicaid Services promulgated final rules to support access, exchange, and use of electronic health information (EHI), referred to as the Final Rule. The Final Rule is intended to clarify provisions of the 21st Century Cures Act regarding interoperability and information blocking, and, subject to the interpretations of the Final Rule, and exceptions to what constitutes information blocking, may create significant new requirements for healthcare industry participants. The Final Rule requires certain electronic health record technology to incorporate standardized application programming interfaces to allow individuals to securely and easily access structured EHI using smartphone applications, provides patients with certain rights to electronic access to their EHI (structured and/or unstructured) at no cost and implements the information blocking provisions of the 21st Century Cures Act, subject to eight exceptions that will not be considered information blocking as long as specific conditions are met. In April 2023, the ONC issued a notice of proposed rulemaking that would modify certain components of the Final Rule, including modifying and expanding certain exceptions to the information blocking regulations, which are intended to support information sharing. The impact of the Final Rule on our business is unclear at this time, due to, among other things, uncertainty regarding the interpretation of safe harbors and exceptions to the Final Rule by industry participants and regulators.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50545"/>
                <wp:effectExtent l="0" t="0" r="0" b="0"/>
                <wp:wrapNone/>
                <wp:docPr id="86" name="Frame8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Final Rule focuses on health plans, payors, and healthcare providers and proposes measures to enable patients to move from health plan to health plan, provider to provider, and have both their clinical and administrative information travel with them. It is unclear whether the Final Rule may benefit us in that certain EHR vendors will no longer be permitted to interfere with our attempts at integration, but the rules may also make it easier for other similar companies to enter the market, creating increased competition, and reducing our market share. It is unclear at this time what the costs of compliance with the proposed rules, if adopted, would be, and what additional risks there may be to our business. If we face limitations on the development of data interfaces and other information blocking practices, including the imposition of increased fees, our data access and ability to download relevant data may be limited, which could adversely affect our ability to provide our Solution as effectively as possible. Any steps we take to enforce the anti-information blocking provisions of the 21st Century Cures Act could be costly, could distract management attention from the business, and could have uncertain results.</w:t>
      </w:r>
    </w:p>
    <w:p>
      <w:pPr>
        <w:pStyle w:val="TextBody"/>
        <w:bidi w:val="0"/>
        <w:spacing w:before="0" w:after="0"/>
        <w:ind w:left="0" w:right="0" w:firstLine="360"/>
        <w:jc w:val="both"/>
        <w:rPr/>
      </w:pPr>
      <w:r>
        <w:rPr/>
      </w:r>
    </w:p>
    <w:p>
      <w:pPr>
        <w:pStyle w:val="TextBody"/>
        <w:bidi w:val="0"/>
        <w:spacing w:lineRule="auto" w:line="247" w:before="0" w:after="180"/>
        <w:jc w:val="both"/>
        <w:rPr>
          <w:rFonts w:ascii="Times New Roman;sans-serif" w:hAnsi="Times New Roman;sans-serif"/>
          <w:b/>
          <w:i/>
          <w:color w:val="000000"/>
          <w:sz w:val="20"/>
        </w:rPr>
      </w:pPr>
      <w:r>
        <w:rPr>
          <w:rFonts w:ascii="Times New Roman;sans-serif" w:hAnsi="Times New Roman;sans-serif"/>
          <w:b/>
          <w:i/>
          <w:color w:val="000000"/>
          <w:sz w:val="20"/>
        </w:rPr>
        <w:t>We rely on third-party providers, including Microsoft Azure, for computing infrastructure, network connectivity, and other technology-related services needed to deliver our Solution. Any disruption in the services provided by such third-party providers could adversely affect our business and subject us to liability.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Solution is generally hosted from and uses computing infrastructure provided by third parties, including Microsoft Azure and other computing infrastructure service providers. We have migrated and expect to continue to migrate a significant portion of our DOS and analytics application computing infrastructure needs to Microsoft Azure. We have made and expect to continue to make substantial investments in transitioning DOS clients from our own managed data center to Microsoft Azure and the migration of clients to the next iteration of our DOS platform. We anticipate that this transition will increase the cost of hosting our technology and negatively impact our technology gross margin. Such migrations are risky and may cause disruptions to our Solution, service outages, downtime, or other problems and may increase our costs. Despite precautions taken during such transitions, any unsuccessful transition of technology may impair clients’ use of our technology which may cause greater costs or downtime and which may lead to, among other things, client dissatisfaction and non-renewals.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computing infrastructure service providers have no obligation to renew their agreements with us on commercially reasonable terms or at all. If we are unable to renew these agreements on commercially reasonable terms, or if one of our computing infrastructure service providers is acquired, we may be required to transition to a new provider and we may incur significant costs and possible service interruption in connection with doing so. Problems faced by our computing infrastructure service providers, including those operated by Microsoft, could adversely affect the experience of our clients. Microsoft Azure and other infrastructure vendors have had and may in the future experience significant service outages. Additionally, if our computing infrastructure service providers are unable to keep up with our growing needs for capacity, this could have an adverse effect on our business. For example, a rapid expansion of our business could affect our service levels or cause our third-party hosted systems to fail. Our agreements with third-party computing infrastructure service providers may not entitle us to service level credits that correspond with those we offer to our clients.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changes in third-party service levels at our computing infrastructure service providers, or any related disruptions or performance problems with our Solution, could adversely affect our reputation and may damage our clients’ data, information and/or stored files, result in lengthy interruptions in our services, or result in potential losses of client data. Interruptions in our services might reduce our revenue, cause us to issue refunds to clients for prepaid and unused subscriptions, subject us to service level credit claims and potential liability, allow our clients to terminate their contracts with us, or adversely affect our renewal rates.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rely on Internet infrastructure, bandwidth providers, data center providers, other third parties, and our own systems for providing our Solution to our users, and any failure or interruption in the services provided by these third parties or our own systems could expose us to litigation, potentially require us to issue credits to our clients, and negatively impact our relationships with users or clients, adversely affecting our brand and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services we provide from our offices, we serve our clients primarily from third-party data-hosting facilities. These facilities are vulnerable to damage or interruption from earthquakes, floods, fires, power loss, telecommunications failures, and similar events. They are also subject to break-ins, sabotage, intentional acts of vandalism, and similar misconduct.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50545"/>
                <wp:effectExtent l="0" t="0" r="0" b="0"/>
                <wp:wrapNone/>
                <wp:docPr id="87" name="Frame8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Their systems and servers could also be subject to hacking, spamming, ransomware, computer viruses or other malicious software, denial of service attacks, service disruptions, including the inability to process certain transactions, phishing attacks, and unauthorized access attempts, including third parties gaining access to users’ accounts using stolen or inferred credentials or other means, and may use such access to prevent use of users’ accounts. Despite precautions taken at these facilities, the occurrence of a natural disaster or an act of terrorism, a decision to close the facilities without adequate notice, or other unanticipated problems at two or more of the facilities could result in lengthy interruptions in our services. Even with our disaster recovery arrangements, our Solution could be interrupted.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deliver our Internet- and telecommunications-based services is dependent on the development and maintenance of the infrastructure of the Internet and other telecommunications services by third parties. This includes maintenance of a reliable network backbone with the necessary speed, data capacity, and security for providing reliable Internet access and services and reliable mobile device, telephone, facsimile, and pager systems, all at a predictable and reasonable cost. We have experienced and expect that we will experience interruptions and delays in services and availability of our Solution from time to time.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internal systems as well as third-party vendors, including data center, bandwidth, and telecommunications equipment or service providers, to provide our Solution. We do not maintain redundant systems or facilities for portions of our Solution. In the event of a catastrophic event with respect to one or more of these systems or facilities, we may experience an extended period of system unavailability, which could negatively impact our relationship with users or clients. To operate without interruption, both we and our service providers must guard against:</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damage from fire, power loss, and other natural disasters;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communications failures;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software and hardware errors, failures, and crashes;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security breaches, computer viruses, ransomware, and similar disruptive problems;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other potential interruptions.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disruption in the network access, telecommunications, or co-location services provided by these third-party providers or any failure of or by these third-party providers or our own systems to handle the current or higher volume of use could significantly harm our ability to deliver our Solution and our business. We exercise limited control over these third-party vendors, which increases our vulnerability to problems with the services they provide.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errors, failures, interruptions, or delays experienced in connection with these third-party technologies and information services or our own systems could negatively impact our relationships with users and clients, adversely affect our brands and business, and expose us to third-party liabilities. The insurance coverage under our policies may not be adequate to compensate us for all losses that may occur. In addition, we cannot provide assurance that we will continue to be able to obtain adequate insurance coverage at an acceptable cost.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reliability and performance of the Internet may be harmed by increased usage or by denial-of-service attacks. The Internet has experienced a variety of outages and other delays as a result of damages to portions of its infrastructure, and it could face outages and delays in the future. These outages and delays could reduce the level of Internet usage as well as the availability of the Internet to us for delivery of our Internet-based services.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provide service level commitments under our client contracts. If we fail to meet these contractual commitments, we could be obligated to provide credits or refunds for prepaid amounts related to unused subscription services or face contract terminations, which could adversely affect our results of operations. Finally, recent changes in law could impact the cost and availability of necessary Internet infrastructure. Increased costs and/or decreased availability would negatively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50545"/>
                <wp:effectExtent l="0" t="0" r="0" b="0"/>
                <wp:wrapNone/>
                <wp:docPr id="88" name="Frame8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44"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could be adversely impacted by changes in laws and regulations related to the Internet or changes in access to the Internet generally.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success of our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Solution in order to comply with these changes, to incur substantial additional costs or divert resources that could otherwise be deployed to grow our business, or expose us to unanticipated civil or criminal liability, among other things.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government agencies and private organizations have imposed, and may in the future impose, additional taxes, fees, or other charges for accessing the Internet or commerce conducted via the Internet. Internet access is frequently provided by companies that have significant market power and could take actions that degrade, disrupt, or increase the cost of our clients’ use of our Solution, which could negatively impact our business. Net neutrality rules, which were designed to ensure that all online content is treated the same by Internet service providers and other companies that provide broadband services were repealed by the Federal Communications Commission effective June 2018. The repeal of the net neutrality rules could force us to incur greater operating expenses or our clients’ use of our Solution could be adversely affected, either of which could harm our business and results of operations. These developments could limit the growth of Internet-related commerce or communications generally or result in reductions in the demand for Internet-based platforms and services such as ours, increased costs to us or the disruption of our business. In addition,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generally, or our Solution specifically, is adversely affected by these or other issues, we could be forced to incur substantial costs, demand for our Solution could decline, and our results of operations and financial condition could be harmed.</w:t>
      </w:r>
    </w:p>
    <w:p>
      <w:pPr>
        <w:pStyle w:val="TextBody"/>
        <w:bidi w:val="0"/>
        <w:spacing w:before="0" w:after="0"/>
        <w:jc w:val="left"/>
        <w:rPr/>
      </w:pPr>
      <w:r>
        <w:rPr/>
      </w:r>
    </w:p>
    <w:p>
      <w:pPr>
        <w:pStyle w:val="TextBody"/>
        <w:bidi w:val="0"/>
        <w:spacing w:lineRule="auto" w:line="247" w:before="0" w:after="240"/>
        <w:jc w:val="both"/>
        <w:rPr>
          <w:rFonts w:ascii="Times New Roman;sans-serif" w:hAnsi="Times New Roman;sans-serif"/>
          <w:b/>
          <w:i/>
          <w:color w:val="000000"/>
          <w:sz w:val="20"/>
        </w:rPr>
      </w:pPr>
      <w:r>
        <w:rPr>
          <w:rFonts w:ascii="Times New Roman;sans-serif" w:hAnsi="Times New Roman;sans-serif"/>
          <w:b/>
          <w:i/>
          <w:color w:val="000000"/>
          <w:sz w:val="20"/>
        </w:rPr>
        <w:t>Our Solution utilizes open-source software, and any failure to comply with the terms of one or more of these open-source licenses could adversely affect our business.</w:t>
      </w:r>
    </w:p>
    <w:p>
      <w:pPr>
        <w:pStyle w:val="TextBody"/>
        <w:bidi w:val="0"/>
        <w:spacing w:lineRule="auto" w:line="247" w:before="0" w:after="240"/>
        <w:ind w:left="0" w:right="0" w:firstLine="360"/>
        <w:jc w:val="both"/>
        <w:rPr/>
      </w:pPr>
      <w:r>
        <w:rPr>
          <w:rFonts w:ascii="Times New Roman;sans-serif" w:hAnsi="Times New Roman;sans-serif"/>
          <w:b w:val="false"/>
          <w:color w:val="000000"/>
          <w:sz w:val="20"/>
        </w:rPr>
        <w:t>We use software modules licensed to us by third-party authors under “open-source” licenses in our Solution.</w:t>
      </w:r>
      <w:r>
        <w:rPr>
          <w:color w:val="000000"/>
        </w:rPr>
        <w:t xml:space="preserve"> </w:t>
      </w:r>
      <w:r>
        <w:rPr>
          <w:rFonts w:ascii="Times New Roman;sans-serif" w:hAnsi="Times New Roman;sans-serif"/>
          <w:b w:val="false"/>
          <w:color w:val="000000"/>
          <w:sz w:val="20"/>
        </w:rPr>
        <w:t>Some open-source licenses contain affirmative obligations or restrictive terms that could adversely impact our business, such as restrictions on commercialization or obligations to make available modified or derivative works of certain open-source code.</w:t>
      </w:r>
      <w:r>
        <w:rPr>
          <w:color w:val="000000"/>
        </w:rPr>
        <w:t xml:space="preserve"> </w:t>
      </w:r>
      <w:r>
        <w:rPr>
          <w:rFonts w:ascii="Times New Roman;sans-serif" w:hAnsi="Times New Roman;sans-serif"/>
          <w:b w:val="false"/>
          <w:color w:val="000000"/>
          <w:sz w:val="20"/>
        </w:rPr>
        <w:t>If we were to combine our proprietary software with certain open-source software subject to these licenses in a certain manner, we could, under certain open-source licenses, be required to release or otherwise make available the source code to our proprietary software to the public. This would allow our competitors to create similar products with lower development effort and time and ultimately could result in a loss of product sales for us.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Although we employ practices designed to manage our compliance with open-source licenses and protect our proprietary source code, we may inadvertently use open-source software in a manner we do not intend and that could expose us to claims for breach of contract and intellectual property infringement.</w:t>
      </w:r>
      <w:r>
        <w:rPr>
          <w:color w:val="000000"/>
        </w:rPr>
        <w:t xml:space="preserve"> </w:t>
      </w:r>
      <w:r>
        <w:rPr>
          <w:rFonts w:ascii="Times New Roman;sans-serif" w:hAnsi="Times New Roman;sans-serif"/>
          <w:b w:val="false"/>
          <w:color w:val="000000"/>
          <w:sz w:val="20"/>
        </w:rPr>
        <w:t>If we are held to have breached the terms of an open-source software license, we could be required to, among other things, seek licenses from third parties to continue offering our products on terms that are not economically feasible, pay damages to third parties, to re-engineer our products, to discontinue the sale of our products if re-engineering cannot be accomplished on a timely basis, or to make generally available, in source code form, a portion of our proprietary code, any of which could adversely affect our business, results of operations, and financial condition.</w:t>
      </w:r>
      <w:r>
        <w:rPr>
          <w:color w:val="000000"/>
        </w:rPr>
        <w:t xml:space="preserve"> </w:t>
      </w:r>
      <w:r>
        <w:rPr>
          <w:rFonts w:ascii="Times New Roman;sans-serif" w:hAnsi="Times New Roman;sans-serif"/>
          <w:b w:val="false"/>
          <w:color w:val="000000"/>
          <w:sz w:val="20"/>
        </w:rPr>
        <w:t>The terms of many open-source licenses have not been interpreted by U.S. courts, and, as a result, there is a risk that such licenses could be construed in a manner that imposes unanticipated conditions or restrictions on our ability to commercialize our Solution.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50545"/>
                <wp:effectExtent l="0" t="0" r="0" b="0"/>
                <wp:wrapNone/>
                <wp:docPr id="89" name="Frame8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0" w:after="240"/>
        <w:jc w:val="both"/>
        <w:rPr>
          <w:rFonts w:ascii="Times New Roman;sans-serif" w:hAnsi="Times New Roman;sans-serif"/>
          <w:b/>
          <w:i/>
          <w:color w:val="000000"/>
          <w:sz w:val="20"/>
        </w:rPr>
      </w:pPr>
      <w:r>
        <w:rPr>
          <w:rFonts w:ascii="Times New Roman;sans-serif" w:hAnsi="Times New Roman;sans-serif"/>
          <w:b/>
          <w:i/>
          <w:color w:val="000000"/>
          <w:sz w:val="20"/>
        </w:rPr>
        <w:t>We employ third-party licensed software and software components for use in or with our Solution, and the inability to maintain these licenses or the presence of errors in the software we license could limit the functionality of our Solution and result in increased costs or reduced service levels, which would adversely affect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software applications might incorporate or interact with certain third-party software and software components (other than open-source software), such as data visualization software, obtained under licenses from other companies. We pay these third parties a license fee or royalty payment. We anticipate that we will continue to use such third-party software in the future. Although we believe that there are commercially reasonable alternatives to the third-party software we currently make available, this may not always be the case, or it may be difficult or costly to replace. Furthermore, these third parties may increase the price for licensing their software, which could negatively impact our results of operations. Our use of additional or alternative third-party software could require clients to enter into license agreements with third parties. In addition, if the third-party software we make available has errors or otherwise malfunctions, or if the third-party terminates its agreement with us, the functionality of our Solution may be negatively impacted and our business may suffer.</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Any failure to protect our intellectual property rights could impair our ability to protect our proprietary technology and our brand.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and ability to compete depend in part upon our intellectual property. As of December 31, 2023, we had filed applications for a number of patents, and we have fourteen issued U.S. patents, four issued Canadian patents, one issued Great Britain patent, and one issued European patent, as well as one utility patent application pending in the United States. We also had twenty-eight registered trademarks in the United States, Singapore, United Arab Emirates, and China. We also rely on copyright and trademark laws, trade secret protection, and confidentiality or license agreements with our employees, clients, partners, and others to protect our intellectual property rights. However, the steps we take to protect our intellectual property rights may be inadequate. For example, other parties, including our competitors, may independently develop similar technology, duplicate our services, or design around our intellectual property and, in such cases, we may not be able to assert our intellectual property rights against such parties.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our contractual arrangements may not effectively prevent disclosure of our confidential information or provide an adequate remedy in the event of unauthorized disclosure of our confidential information, and we may be unable to detect the unauthorized use of, or take appropriate steps to enforce, our intellectual property rights. We make business decisions about when to seek patent protection for a particular technology and when to rely upon trade secret protection, and the approach we select may ultimately prove to be inadequate. Even in cases where we seek patent protection, there is no assurance that the resulting patents will effectively protect every significant feature of our Solution, technology, or proprietary information, or provide us with any competitive advantages. Moreover, we cannot guarantee that any of our pending patent applications will issue or be approved. The United States Patent and Trademark Office and various foreign governmental patent agencies also require compliance with a number of procedural, documentary, fee payment, and other similar provisions during the patent application process and after a patent has issued.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situations in which noncompliance can result in abandonment or lapse of the patent, or patent application, resulting in partial or complete loss of patent rights in the relevant jurisdiction. If this occurs, our competitors might be able to enter the market, which would have a material adverse effect on our business. Effective trademark, copyright, patent, and trade secret protection may not be available in every country in which we conduct business. Further, intellectual property law, including statutory and case law, particularly in the United States, is constantly developing, and any changes in the law could make it harder for us to enforce our rights.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50545"/>
                <wp:effectExtent l="0" t="0" r="0" b="0"/>
                <wp:wrapNone/>
                <wp:docPr id="90" name="Frame9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adverse determination of any litigation proceedings could put our intellectual property at risk of being invalidated or interpreted narrowly and could put our related pending patent applications at risk of not issuing. Furthermore,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Negative publicity related to a decision by us to initiate such enforcement actions against a client or former client, regardless of its accuracy, may adversely impact our other client relationships or prospective client relationships, harm our brand and business, and could cause the market price of our common stock to decline. Our failure to secure, protect, and enforce our intellectual property rights could adversely affect our brand and our business.</w:t>
      </w:r>
    </w:p>
    <w:p>
      <w:pPr>
        <w:pStyle w:val="TextBody"/>
        <w:bidi w:val="0"/>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be sued by third parties for alleged infringement of their proprietary rights or misappropriation of intellectual property.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considerable patent and other intellectual property development activity in our industry. Our future success depends in part on not infringing upon the intellectual property rights of others. Our competitors, as well as a number of other entities and individuals, including so-called non-practicing entities (NPEs), may own or claim to own intellectual property relating to our Solution. From time to time, third parties have claimed or may claim that we are infringing upon their intellectual property rights or that we have misappropriated their intellectual property.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in some cases, very broad patents are granted that may be interpreted as covering a wide field of healthcare data storage and analytics solutions or machine learning and predictive modeling methods in healthcare. As competition in our market grows, the possibility of patent infringement, trademark infringement, and other intellectual property claims against us increases. In the future, we expect others to claim that our Solution and underlying technology infringe or violate their intellectual property rights. In a patent infringement claim against us, we may assert, as a defense, that we do not infringe the relevant patent claims, that the patent is invalid or both.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strength of our defenses will depend on the patents asserted, the interpretation of these patents, and our ability to invalidate the asserted patents. However, we could be unsuccessful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aspects of our technology and services. Any claims or litigation could cause us to incur significant expenses and, whether or not successfully asserted against us, could require that we pay substantial damages, ongoing royalty or license payments, or settlement fees, prevent us from offering our Solution or using certain technologies, require us to re-engineer all or a portion of our DOS platform,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50545"/>
                <wp:effectExtent l="0" t="0" r="0" b="0"/>
                <wp:wrapNone/>
                <wp:docPr id="91" name="Frame9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Risks Related to Governmental Regulation</w:t>
      </w:r>
    </w:p>
    <w:p>
      <w:pPr>
        <w:pStyle w:val="TextBody"/>
        <w:bidi w:val="0"/>
        <w:spacing w:lineRule="auto" w:line="288"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Healthcare and Data Privacy and Security Regulation</w:t>
      </w:r>
    </w:p>
    <w:p>
      <w:pPr>
        <w:pStyle w:val="TextBody"/>
        <w:bidi w:val="0"/>
        <w:spacing w:lineRule="auto" w:line="276" w:before="0" w:after="180"/>
        <w:jc w:val="both"/>
        <w:rPr>
          <w:rFonts w:ascii="Times New Roman;sans-serif" w:hAnsi="Times New Roman;sans-serif"/>
          <w:b/>
          <w:i/>
          <w:color w:val="000000"/>
          <w:sz w:val="20"/>
        </w:rPr>
      </w:pPr>
      <w:r>
        <w:rPr>
          <w:rFonts w:ascii="Times New Roman;sans-serif" w:hAnsi="Times New Roman;sans-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i/>
          <w:color w:val="000000"/>
          <w:sz w:val="20"/>
        </w:rPr>
        <w:t>Health information privacy and security laws</w:t>
      </w:r>
      <w:r>
        <w:rPr>
          <w:rFonts w:ascii="Times New Roman;sans-serif" w:hAnsi="Times New Roman;sans-serif"/>
          <w:b w:val="false"/>
          <w:color w:val="000000"/>
          <w:sz w:val="20"/>
        </w:rPr>
        <w:t xml:space="preserve">. There are numerous federal and state laws and regulations that govern the privacy and security of health information. In particular, HIPAA, as amended by the Health Information Technology for Economic and Clinical Health Act of 2009, and regulations implemented thereunder (collectively, HIPAA) imposes, among other things, certain standards relating to the privacy, security, transmission and breach reporting of PHI, as defined under HIPAA. By processing and maintaining PHI on behalf of our covered entity clients, we are a HIPAA business associate and are required to enter into business associate agreements (BAAs) with our covered entity clients to safeguard PHI, as well as BAAs with our subcontractors that access or otherwise process PHI on our behalf. </w:t>
      </w:r>
    </w:p>
    <w:p>
      <w:pPr>
        <w:pStyle w:val="TextBody"/>
        <w:bidi w:val="0"/>
        <w:spacing w:lineRule="auto" w:line="288" w:before="18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able to adequately address the business risks created by HIPAA implementation. Furthermore, we are unable to predict what changes to HIPAA or other laws or regulations might be made in the future or how those changes could affect our business or the costs of compliance. We are unable to predict what, if any, impact the changes in such standards will have on our compliance costs or our Solution. Penalties for failure to comply with a requirement of HIPAA vary significantly depending on the nature of violation and could include civil monetary or criminal penalties. HIPAA also authorizes state attorneys general to file suit under HIPAA on behalf of state residents. Courts can award damages, costs and attorneys’ fees related to violations of HIPAA in such cases. </w:t>
      </w:r>
    </w:p>
    <w:p>
      <w:pPr>
        <w:pStyle w:val="TextBody"/>
        <w:bidi w:val="0"/>
        <w:spacing w:lineRule="auto" w:line="288" w:before="18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Certain states have also adopted privacy and security laws and regulations, some of which may be more stringent than HIPAA. Such laws and regulations will be subject to interpretation by various courts and other governmental authorities, thus creating potentially complex compliance issues for us and our future clients and strategic partners.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analytics applications, including, for example, one of our benchmarking applications, require that we obtain permissions consistent with HIPAA to provide “data aggregation services” and the right to create de-identified information and to use and disclose such de-identified information. We may require large sets of de-identified information to enable us to continue to develop machine learning algorithms that enhance our Solution. If we are unable to secure these rights in client BAAs or as a result of any future changes to HIPAA or other applicable laws, we may face limitations on the use of PHI and our ability to use de-identified information that could negatively affect the scope of our Solution as well as impair our ability to provide upgrades and enhancements to our Solution. </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outsource important aspects of the storage and transmission of client information and PHI, and thus rely on third parties to manage functions that have material cybersecurity risks. We attempt to address these risks by requiring outsourcing subcontractors who handle client information to sign BAAs contractually requiring those subcontractors to adequately safeguard PHI in a similar manner that applies to us and in some cases by requiring such outsourcing subcontractors to undergo third</w:t>
        <w:noBreakHyphen/>
        <w:t>party security examinations as well as to protect the confidentiality of other sensitive client information. In addition, we periodically hire third</w:t>
        <w:noBreakHyphen/>
        <w:t>party security experts to assess and test our security measures. However, we cannot be assured that these contractual measures and other safeguards will adequately protect us from the risks associated with the storage and transmission of our clients' confidential and proprietary information and PHI.</w:t>
      </w:r>
    </w:p>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50545"/>
                <wp:effectExtent l="0" t="0" r="0" b="0"/>
                <wp:wrapNone/>
                <wp:docPr id="92" name="Frame9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i/>
          <w:color w:val="000000"/>
          <w:sz w:val="20"/>
        </w:rPr>
        <w:t xml:space="preserve">Consumer protection laws. </w:t>
      </w:r>
      <w:r>
        <w:rPr>
          <w:rFonts w:ascii="Times New Roman;sans-serif" w:hAnsi="Times New Roman;sans-serif"/>
          <w:b w:val="false"/>
          <w:color w:val="000000"/>
          <w:sz w:val="20"/>
        </w:rPr>
        <w:t>Furthermore, the Federal Trade Commission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According to the FTC, failing to take appropriate steps to keep consumers’ personal information secure can also constitute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w:t>
      </w:r>
    </w:p>
    <w:p>
      <w:pPr>
        <w:pStyle w:val="TextBody"/>
        <w:bidi w:val="0"/>
        <w:spacing w:lineRule="auto" w:line="288" w:before="180" w:after="240"/>
        <w:ind w:left="0" w:right="0" w:hanging="360"/>
        <w:jc w:val="both"/>
        <w:rPr/>
      </w:pPr>
      <w:r>
        <w:rPr>
          <w:color w:val="000000"/>
        </w:rPr>
        <w:t>•</w:t>
      </w:r>
      <w:r>
        <w:rPr>
          <w:rFonts w:ascii="Times New Roman;sans-serif" w:hAnsi="Times New Roman;sans-serif"/>
          <w:b w:val="false"/>
          <w:i/>
          <w:color w:val="000000"/>
          <w:sz w:val="20"/>
        </w:rPr>
        <w:t>State data protection laws</w:t>
      </w:r>
      <w:r>
        <w:rPr>
          <w:rFonts w:ascii="Times New Roman;sans-serif" w:hAnsi="Times New Roman;sans-serif"/>
          <w:b w:val="false"/>
          <w:color w:val="000000"/>
          <w:sz w:val="20"/>
        </w:rPr>
        <w:t xml:space="preserve">. Certain states have also adopted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clients and strategic partners. For example, California adopted the CCPA, which went into effect on January 1, 2020. </w:t>
      </w:r>
    </w:p>
    <w:p>
      <w:pPr>
        <w:pStyle w:val="TextBody"/>
        <w:bidi w:val="0"/>
        <w:spacing w:lineRule="auto" w:line="288" w:before="18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CCPA established a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Additionally, the CPRA generally went into effect on January 1, 2023 and significantly amends the CCPA. It imposed additional data protection obligations on companies doing business in California,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be required. Similar laws have passed in other states, and are continuing to be proposed at the state and federal level, reflecting a trend toward more stringent privacy legislation in the United States. If we fail to comply with any of these privacy laws that apply to us, and are subject to the aforementioned penalties, our business and financial results could be adversely affected.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i/>
          <w:color w:val="000000"/>
          <w:sz w:val="20"/>
        </w:rPr>
        <w:t>GDPR and foreign data privacy protection laws</w:t>
      </w:r>
      <w:r>
        <w:rPr>
          <w:rFonts w:ascii="Times New Roman;sans-serif" w:hAnsi="Times New Roman;sans-serif"/>
          <w:b w:val="false"/>
          <w:color w:val="000000"/>
          <w:sz w:val="20"/>
        </w:rPr>
        <w:t xml:space="preserve">. In addition, many foreign governments have established or are in the process of establishing privacy and data security legal frameworks governing the collection, use and disclosure of personal information obtained from their residents. For example, in Europe, the GDPR went into effect on May 25, 2018. The GDPR imposes data protection requirements for processing the personal data of individuals within the European Economic Area (EEA) relating to the consent of the individuals to whom the personal data relates, the information provided to the individuals, the documentation we must retain, the security and confidentiality of the personal data, data breach notification and the use of third-party processors in connection with the processing of personal data.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The GDPR has increased our responsibility and potential liability in relation to personal data that we process, and we may be required to put in place mechanisms to ensure compliance with GDPR. In addition, the GDPR increases the scrutiny of transfers of personal data from the EEA to the United States and other jurisdictions that the European Commission does not recognize as having “adequate” data protection laws and the efficacy and longevity of current transfer mechanisms between the EEA and the United States remain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50545"/>
                <wp:effectExtent l="0" t="0" r="0" b="0"/>
                <wp:wrapNone/>
                <wp:docPr id="93" name="Frame9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7, 2022, President Biden signed an Executive Order on ‘Enhancing Safeguards for United States Intelligence Activities’ which introduced new redress mechanisms and binding safeguards to address the concerns raised by the CJEU in relation to data transfers from the EEA to the United States and which formed the basis of the new EU-US Data Privacy Framework (DPF), as released on December 13, 2022. The European Commission adopted its Adequacy Decision in relation to the DPF on July 10, 2023, rendering the DPF effective as a GDPR transfer mechanism to U.S. entities self-certified under the DPF. The DPF also introduced a new redress mechanism for EU citizens which addresses a key concern in the previous CJEU judgments and may mean transfers under standard contractual clauses are less likely to be challenged in future. We currently maintain localized infrastructure and third-party relationships to limit the risk of data transfer of personal data outside of the EEA and the UK. In addition, we rely on the EU standard contractual clauses and the UK Addendum to the EU standard contractual clauses as relevant to address any potential transfer of personal data outside the EEA and the UK, including to the United States, with respect to both intragroup and third-party transfers.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Data protection authorities of the different EEA member states may also interpret GDPR differently, and guidance on implementation and compliance practices are often updated or otherwise revised, which adds to the complexity of processing personal data in the EEA. Any failure by us to comply with GDPR could result in proceedings or actions against us by governmental entities or others, which may subject us to significant penalties and negative publicity, require us to change our business practices, and increase our costs and severely disrupt our business. Further, from January 1, 2021, companies have had to comply with the GDPR and also the UK GDPR, which, together with the amended UK Data Protection Act 2018, retains the GDPR in UK national law. The UK GDPR mirrors the fines under the GDPR, e.g., fines up to the greater of €20 million (£17.5 million) or 4% of global turnover. On October 12, 2023, the UK Extension to the DPF came into effect (as approved by the UK Government), as a UK GDPR data transfer mechanism to U.S. entities self-certified under the UK Extension to the DPF. As we continue to expand into other foreign countries and jurisdictions, we may be subject to additional laws and regulations that may affect how we conduct business. </w:t>
      </w:r>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Canadian data privacy protection laws</w:t>
      </w:r>
      <w:r>
        <w:rPr>
          <w:rFonts w:ascii="Times New Roman;sans-serif" w:hAnsi="Times New Roman;sans-serif"/>
          <w:b w:val="false"/>
          <w:color w:val="000000"/>
          <w:sz w:val="20"/>
        </w:rPr>
        <w:t>. Similarly, Canada’s Personal Information Protection and Electronic Documents Act provides Canadian residents with privacy protections in regard to transactions with businesses and organizations in the private sector and sets out ground rules for how private-sector organizations may collect, use, and disclose personal information in the course of commercial activities. Foreign governments may attempt to apply such laws extraterritorially or through treaties or other arrangements with U.S. governmental entities. Other jurisdictions besides the EU and Canada are similarly introducing or enhancing laws and regulations relating to privacy and data security, which enhances risks relating to compliance with such laws. Furthermore, as we enter into business arrangements in countries outside of the United States, we will need to be prepared to comply with applicable local privacy laws. The GDPR and other changes in laws or regulations associated with the enhanced protection of certain types of personal data, such as health-related data or other sensitive information, could greatly increase our cost of providing our products and services or even prevent us from offering certain services in jurisdictions that we operate.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be certain that the privacy policies and other statements regarding our practices will be found sufficient to protect us from liability or adverse publicity relating to the privacy and security of personal information. There is ongoing concern from privacy advocates, regulators, and others regarding data protection and privacy issues, and the number of jurisdictions with data protection and privacy laws has been increasing. Also, there are ongoing public policy discussions regarding whether the standards for de-identified, anonymous, or pseudonymized health information are sufficient, and the risk of re-identification sufficiently small, to adequately protect patient privacy. We expect that there will continue to be new proposed laws, regulations, and industry standards concerning privacy, data protection, and information security in the United States, including the CCPA and CPRA, and we cannot yet determine the impact such laws, regulations, and standards may have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50545"/>
                <wp:effectExtent l="0" t="0" r="0" b="0"/>
                <wp:wrapNone/>
                <wp:docPr id="94" name="Frame9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laws, regulations, standards, and other obligations, and changes in the interpretation of existing laws, regulations, standards, and other obligations could impair our or our clients’ ability to collect, use, or disclose information relating to consumers, which could decrease demand for our Solution, increase our costs, and impair our ability to maintain and grow our client base and increase our revenue. Any failure or perceived failure by us to comply with international, federal or state laws or regulations, industry standards, or other legal obligations, or any actual or suspected security incident, whether or not resulting in unauthorized access to, or acquisition, release, or transfer of personally identifiable information or other data, may result in governmental enforcement actions and prosecutions, private litigation, fines, and penalties or adverse publicity and could cause our clients to lose trust in us, which could have an adverse effect on our reputation and business.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be unable to make such changes and modifications in a commercially reasonable manner or at all, and our ability to develop new products and features could be limited. Any of these developments could harm our business, financial condition, and results of operations. Privacy and data security concerns, whether valid or not valid, may inhibit market adoption of our Solution.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Government regulation of healthcare creates risks and challenges with respect to our compliance efforts and our business strategies.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healthcare laws are complex, and their application to specific services and relationships may not be clear. In particular, many existing healthcare laws and regulations, when enacted, did not anticipate the data analytics and improvement services that we provide, and these laws and regulations may be applied to our Solution in ways that we do not anticipate, particularly as we develop and release new and more sophisticated solutions. Our failure to accurately anticipate the application of these laws and regulations, or our other failure to comply with them, could create significant liability for us, result in adverse publicity, and negatively affect our business. Some of the risks we face or may face from healthcare regulation are described below.</w:t>
      </w:r>
    </w:p>
    <w:p>
      <w:pPr>
        <w:pStyle w:val="TextBody"/>
        <w:bidi w:val="0"/>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Anti-Kickback Statute prohibits, among other things, the offering, paying, soliciting, or receiving anything of value, directly or indirectly, for the referral of patients covered by Medicare, Medicaid, and other federal healthcare programs or the leasing, purchasing, ordering, or arranging for or recommending the lease, purchase, or order of any item, good, facility, or service covered by these programs. A person or entity does not need to have actual knowledge of the statute or specific intent to violate it in order to have committed a violation. Some enforcement activities focus on below or above market payments for federally reimbursable healthcare items or services as evidence of the intent to provide a kickback. Many states also have similar anti-kickback laws that are not necessarily limited to items or services for which payment is made by a federal healthcare program. Moreover, both federal and state laws prohibit bribery and similar behavior. We do not believe we directly order or provide healthcare services that are reimbursable by Medicare, Medicaid or other third-party payors or submit claims or receive reimbursement from any such payor. However, nonetheless, in addition to direct enforcement action against us, if our advisory services or our Solution offered to clients are associated with action by clients that is determined or alleged to be in violation of these laws and regulations, it is possible that an enforcement agency would also try to hold us liable and, as a result of such attempt to hold us liable, our results of operations and financial condition may be negatively impacted, even if we are ultimately found not liable. </w:t>
      </w:r>
    </w:p>
    <w:p>
      <w:pPr>
        <w:pStyle w:val="TextBody"/>
        <w:bidi w:val="0"/>
        <w:spacing w:lineRule="auto" w:line="276"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also numerous federal and state laws that prohibit the submission of false information, or the failure to disclose information, in connection with submission and payment of claims for healthcare items and services by healthcare providers. For example, the federal civil False Claims Act prohibits, among other things, individuals or entities from knowingly presenting, or causing to be presented, to the U.S. federal government, claims for payment or approval that are false or fraudulent, or knowingly making, using or causing to be made or used, a false record or statement material to a false or fraudulent claim. The government has prosecuted revenue cycle management service providers for causing the submission of false or fraudulent claims in violation of the False Claims Act. In addition, the government may assert that a claim including items and services resulting from a violation of the U.S. federal Anti-Kickback Statute constitutes a false or fraudulent claim for purposes of the civil False Claims Act.</w:t>
      </w:r>
    </w:p>
    <w:p>
      <w:pPr>
        <w:pStyle w:val="TextBody"/>
        <w:bidi w:val="0"/>
        <w:spacing w:before="0" w:after="240"/>
        <w:ind w:left="0" w:right="0" w:firstLine="360"/>
        <w:jc w:val="both"/>
        <w:rPr/>
      </w:pPr>
      <w:r>
        <w:rPr/>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50545"/>
                <wp:effectExtent l="0" t="0" r="0" b="0"/>
                <wp:wrapNone/>
                <wp:docPr id="95" name="Frame9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HIPAA also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Any determination by a court or regulatory agency that we or any of our clients, vendors, or partners have violated these laws could subject us to significant civil or criminal penalties, invalidate all or portions of some of our client contracts, require us to change or terminate some portions of our business, require us to refund portions of our services fees, subject us to additional reporting requirements and oversight under a corporate integrity agreement or similar agreement to resolve allegations of noncompliance with these laws, cause us to be disqualified from serving clients doing business with government payors, and have an adverse effect on our business. Our clients’ failure to comply with these laws and regulations in connection with our services could result in substantial liability (including, but not limited to, criminal liability), adversely affect demand for our Solution, and force us to expend significant capital, research and development, and other resources to address the failure. Even an unsuccessful challenge by regulatory authorities of our activities could result in adverse publicity, distract management attention from our business, require a costly response from us, and negatively impact the price of our common stock.</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If our arrangements with clinicians and other healthcare professionals are found to constitute the improper rendering of professional medical services or fee splitting under applicable state laws, our business, financial condition, and our ability to operate in those states could be adversely impacted.</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employ and contract with physicians and other licensed healthcare professionals who assist our clients with the clients’ care coordination, care management, population health management, and patient safety activities. Although we do not intend to provide medical care, treatment, or advice, our relationships with such healthcare professionals may implicate certain state laws in the United States in which we operate that generally prohibit non-professional entities from providing licensed medical services, exercising control over licensed physicians or other licensed healthcare professionals, or engaging in certain practices such as fee-splitting with such licensed professionals.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authorities, state boards of medicine, state attorneys general, and other parties may assert that we are engaged in the provision of professional medical services, and/or that our arrangements with our affiliated physicians and other licensed healthcare professionals constitute unlawful fee-splitting. If a jurisdiction’s prohibition on the corporate practice of medicine or fee-splitting is interpreted in a manner that is inconsistent with our practices, we may be required to restructure or terminate some portions of our business, which may in turn require us to refund portions of our services fees, which would have an adverse effect on our business. Even an unsuccessful challenge by regulatory authorities of our activities could result in adverse publicity, distraction of management attention from our business, a costly response from us, and a substantial negative impact upon the price of our common stock.</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The FDA may modify its enforcement policies with respect to medical software products, and our software products may become subject to extensive regulatory requirements, which may increase the cost of conducting, or otherwise harm, our business.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develop and offer certain analytical software applications in connection with our business. The FDA may regulate medical or health-related software, including machine learning functionality and predictive algorithms, if such software falls within the definition of a “medical device” under the Federal Food, Drug, and Cosmetic Act (FDCA). Medical devices are subject to extensive and rigorous regulation by the FDA and by other federal, state, and local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50545"/>
                <wp:effectExtent l="0" t="0" r="0" b="0"/>
                <wp:wrapNone/>
                <wp:docPr id="96" name="Frame9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FDCA and related regulations govern the conditions of safety, efficacy, clearance, approval, manufacturing, quality system requirements, labeling, packaging, distribution, storage, recordkeeping, reporting, marketing, advertising, and promotion of medical devices. However, historically, the FDA has exercised enforcement discretion for certain low-risk software functions, and has issued several guidance documents outlining its approach to the regulation of software as a medical device. In addition, the 21st Century Cures Act amended the FDCA to exclude from the definition of “medical device” certain medical-related software, including software used for administrative support functions at a healthcare facility, software intended for maintaining or encouraging a healthy lifestyle, software designed to store electronic health records, software for transferring, storing, or displaying medical device data or in vitro diagnostic data, and certain clinical decision support software. We believe our currently marketed products provide functionality that is exempt from the FDCA’s definition of a “medical device,” and therefore that our software products are not currently regulated by the FDA as medical devices, or that our products are otherwise subject to FDA’s current enforcement discretion policies applicable to software products. However, there is a risk that the FDA could disagree with our determination, or that the FDA could alter its enforcement discretion policies, and in either case, subject our software to more stringent medical device regulations. </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FDA determines that any of our current or future analytics applications are regulated as medical devices and not otherwise subject to enforcement discretion, we would become subject to various requirements under the FDCA and the FDA’s implementing regulations. If this occurs, we may be required to cease marketing or to recall our product until we obtain the requisite clearances or approvals, which would entail significant cost and could harm our reputation, business, financial condition, and results of operations. </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comply with applicable regulatory requirements could result in enforcement action by the FDA, or comparable state or foreign regulatory authorities, including: untitled letters, warning letters, fines, injunctions, consent decrees and civil penalties, recalls, termination of distribution, administrative detentions, seizure of our products, operating restrictions, partial suspension or total shutdown of production, delays in or refusal to grant clearances or approvals, prohibitions on sales of our products, and criminal prosecution. Any of these sanctions could result in higher than anticipated costs or lower than anticipated sales and have a material adverse effect on our reputation, business, financial condition, and results of operations.</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The healthcare regulatory and political framework is uncertain and evolving.</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Existing and new laws and regulations affecting the healthcare industry, or changes to existing laws and regulations could create unexpected liabilities for us, cause us to incur additional costs, and/or restrict our operations. Reforming the healthcare industry has been a priority for U.S. politicians, and key members of the legislative and executive branches have proposed a wide variety of potential changes and policy goals. Certain changes to laws impacting our industry, or perceived intentions to do so, could affect our business and results of operations. By way of example, in March 2010, the Affordable Care Act (ACA), was enacted, which substantially changed the way healthcare is financed by both governmental and private insurers and has significantly impacted our industry and, to some degree, our business.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We anticipate that new cost containment measures or other healthcare reforms will continue to be implemented at both the federal and state level, any of which could harm our business, financial condition, and results of operations.</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50545"/>
                <wp:effectExtent l="0" t="0" r="0" b="0"/>
                <wp:wrapNone/>
                <wp:docPr id="97" name="Frame9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Due to the particular nature of certain services we provide or the manner in which we provide them, we may be subject to additional government regulation and foreign government regulation.</w:t>
      </w:r>
    </w:p>
    <w:p>
      <w:pPr>
        <w:pStyle w:val="TextBody"/>
        <w:bidi w:val="0"/>
        <w:spacing w:lineRule="auto" w:line="276"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our Solution is primarily subject to government regulations pertaining to healthcare, certain aspects of our Solution may require us to comply with regulatory schema from other areas. Examples of such regulatory schema include:</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i/>
          <w:color w:val="000000"/>
          <w:sz w:val="20"/>
        </w:rPr>
        <w:t>Antitrust laws</w:t>
      </w:r>
      <w:r>
        <w:rPr>
          <w:rFonts w:ascii="Times New Roman;sans-serif" w:hAnsi="Times New Roman;sans-serif"/>
          <w:b w:val="false"/>
          <w:color w:val="000000"/>
          <w:sz w:val="20"/>
        </w:rPr>
        <w:t>. Our national cloud-based network allows us access to cost and pricing data for a large number of providers in most regional markets, as well as to the contracted rates for third-party payors. To the extent that our Solution enables providers to compare their cost and pricing data with those of their competitors, those providers could collude to increase the pricing for their services, to reduce the compensation they pay their employees, or to collectively negotiate agreements with third parties. Similarly, if payors are able to compare their contracted rates of payment to providers, those payors may seek to reduce the amounts they might otherwise pay. Such actions may be deemed to be anti-competitive and a violation of federal antitrust laws. To the extent that we are deemed to have enabled such activities, we could be subject to fines and penalties imposed by the U.S. Department of Justice or the FTC and be required to curtail or terminate the services that permitted such collusion.</w:t>
      </w:r>
    </w:p>
    <w:p>
      <w:pPr>
        <w:pStyle w:val="TextBody"/>
        <w:bidi w:val="0"/>
        <w:spacing w:lineRule="auto" w:line="276" w:before="0" w:after="180"/>
        <w:ind w:left="0" w:right="0" w:hanging="360"/>
        <w:jc w:val="both"/>
        <w:rPr/>
      </w:pPr>
      <w:r>
        <w:rPr>
          <w:color w:val="000000"/>
        </w:rPr>
        <w:t>•</w:t>
      </w:r>
      <w:r>
        <w:rPr>
          <w:rFonts w:ascii="Times New Roman;sans-serif" w:hAnsi="Times New Roman;sans-serif"/>
          <w:b w:val="false"/>
          <w:i/>
          <w:color w:val="000000"/>
          <w:sz w:val="20"/>
        </w:rPr>
        <w:t>Foreign Corrupt Practices Act (FCPA) and foreign anti-bribery laws</w:t>
      </w:r>
      <w:r>
        <w:rPr>
          <w:rFonts w:ascii="Times New Roman;sans-serif" w:hAnsi="Times New Roman;sans-serif"/>
          <w:b w:val="false"/>
          <w:color w:val="000000"/>
          <w:sz w:val="20"/>
        </w:rPr>
        <w:t>. The FCPA makes it illegal for U.S. persons, including U.S. companies, and their subsidiaries, directors, officers, employees, and agents, to promise, authorize or make any corrupt payment, or otherwise provide anything of value, directly or indirectly, to any foreign official, any foreign political party or party official, or candidate for foreign political office to obtain or retain business. Violations of the FCPA can also result in violations of other U.S. laws, including anti-money laundering, mail and wire fraud, and conspiracy laws. There are severe penalties for violating the FCPA. In addition, the Company may also be subject to other non-U.S. anti-corruption or anti-bribery laws, such as the U.K. Bribery Act 2010. If our employees, contractors, vendors, or partners fail to comply with the FCPA and/or foreign anti-bribery laws, we may be subject to penalties or sanctions, and our ability to develop new prospects and retain existing clients could be adversely affected.</w:t>
      </w:r>
    </w:p>
    <w:p>
      <w:pPr>
        <w:pStyle w:val="TextBody"/>
        <w:bidi w:val="0"/>
        <w:spacing w:lineRule="auto" w:line="276" w:before="0" w:after="180"/>
        <w:ind w:left="0" w:right="0" w:hanging="360"/>
        <w:jc w:val="both"/>
        <w:rPr/>
      </w:pPr>
      <w:r>
        <w:rPr>
          <w:color w:val="000000"/>
        </w:rPr>
        <w:t>•</w:t>
      </w:r>
      <w:r>
        <w:rPr>
          <w:rFonts w:ascii="Times New Roman;sans-serif" w:hAnsi="Times New Roman;sans-serif"/>
          <w:b w:val="false"/>
          <w:i/>
          <w:color w:val="000000"/>
          <w:sz w:val="20"/>
        </w:rPr>
        <w:t>Economic sanctions and export controls</w:t>
      </w:r>
      <w:r>
        <w:rPr>
          <w:rFonts w:ascii="Times New Roman;sans-serif" w:hAnsi="Times New Roman;sans-serif"/>
          <w:b w:val="false"/>
          <w:color w:val="000000"/>
          <w:sz w:val="20"/>
        </w:rPr>
        <w:t>. Economic and trade sanctions programs that are administered by the U.S. Treasury Department’s Office of Foreign Assets Control prohibit or restrict transactions to or from, and dealings with specified countries and territories, their governments, and in certain circumstances, with individuals and entities that are specially designated nationals of those countries, and other sanctioned persons, including narcotics traffickers and terrorists or terrorist organizations. As federal, state and foreign legislative regulatory scrutiny and enforcement actions in these areas increase, we expect our costs to comply with these requirements will increase as well. Failure to comply with any of these requirements could result in the limitation, suspension or termination of our services, imposition of significant civil and criminal penalties, including fines, and/or the seizure and/or forfeiture of our assets. Further, our Solution incorporates encryption technology. This encryption technology may be exported from the United States only with the required export authorizations, including by a license, a license exception, or other appropriate government authorizations. Such solutions may also be subject to certain regulatory reporting requirements. Various countries also regulate the import of certain encryption technology, including through import permitting and licensing requirements, and have enacted laws that could limit our clients’ ability to import our Solution into those countries. Governmental regulation of encryption technology and of exports and imports of encryption products, or our failure to obtain required approval for our Solution, when applicable, could harm our international sales and adversely affect our revenue. Compliance with applicable regulatory requirements regarding the provision of our Solution, including with respect to new applications, may delay the introduction of our Solution in various markets or, in some cases, prevent the provision of our Solution to some countries altogether.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Regulatory certification</w:t>
      </w:r>
      <w:r>
        <w:rPr>
          <w:rFonts w:ascii="Times New Roman;sans-serif" w:hAnsi="Times New Roman;sans-serif"/>
          <w:b w:val="false"/>
          <w:color w:val="000000"/>
          <w:sz w:val="20"/>
        </w:rPr>
        <w:t>. We must obtain certification from governmental agencies, such as the Agency for Healthcare Research and Quality (AHRQ) to sell certain of our analytics applications and services in the United States. We cannot be certain that our Solution will continue to meet these standards. The failure to comply with these certification requirements could result in the loss of certification, which could restrict our Solution offerings and cause us to lose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50545"/>
                <wp:effectExtent l="0" t="0" r="0" b="0"/>
                <wp:wrapNone/>
                <wp:docPr id="98" name="Frame9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Tax Regulation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Taxing authorities may successfully assert that we should have collected or in the future should collect sales and use, value-added or similar transactional taxes, and we could be subject to liability with respect to past or future sales, which could adversely affect our 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collect sales and use, value-added, and similar transactional taxes in all jurisdictions in which we have sales, based on our belief that such taxes are not applicable or that we are not required to collect such taxes with respect to the jurisdiction. Sales and use, value-added,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interest or future requirements, increase in tax rates, or a combination of the foregoing may result in an increase in our sales and similar transactional taxes, increase administrative burdens or costs, or otherwise adversely affect our business, results of operations, or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Unanticipated changes in our effective tax rate and additional tax liabilities, including as a result of our international operations or implementation of new tax rules, could harm our future results.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income taxes in the United States and are expanding into various foreign jurisdictions that are subject to income tax. Our domestic and international tax liabilities are subject to the allocation of expenses in differing jurisdictions and complex transfer pricing regulations administered by taxing authorities in various jurisdictions. Tax rates in the jurisdictions in which we operate may change as a result of factors outside of our control or relevant taxing authorities may disagree with our determinations as to the income and expenses attributable to specific jurisdictions. In addition, changes in tax and trade laws, treaties or regulations, or their interpretation or enforcement, have become more unpredictable and may become more stringent, which could materially adversely affect our tax position.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Forecasting our estimated annual effective tax rate is complex and subject to uncertainty, and there may be material differences between our forecasted and actual effective tax rate. Our effective tax rate could be adversely affected by changes in the mix of earnings and losses in countries with differing statutory tax rates, certain non-deductible expenses, the valuation of deferred tax assets and liabilities, adjustments to income taxes upon finalization of tax returns, changes in available tax attributes, decision to repatriate non-U.S. earnings for which we have not previously provided for U.S. taxes, and changes in federal, state, or international tax laws and accounting principles. Finally, we may be subject to income tax audits throughout the world. An adverse resolution of one or more uncertain tax positions in any period could have a material impact on our results of operations or financial condition for that period.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losses to offset future taxable income may be subject to certain limitations.</w:t>
      </w:r>
    </w:p>
    <w:p>
      <w:pPr>
        <w:pStyle w:val="TextBody"/>
        <w:bidi w:val="0"/>
        <w:spacing w:lineRule="auto" w:line="288"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net operating loss (NOL) carryforwards for federal and state income tax purposes of approximately $602.6 million and $505.5 million, respectively, which may be available to offset taxable income in the future, and which expire in various years beginning in 2032 for federal purposes if not utilized. The state NOLs will expire depending upon the various rules in the states in which we operate.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its future taxable income.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income tax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50545"/>
                <wp:effectExtent l="0" t="0" r="0" b="0"/>
                <wp:wrapNone/>
                <wp:docPr id="99" name="Frame9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provisions of the Tax Act (as defined below), as amended by the CARES Act, also limit the use of NOLs, as discussed further below. For these reasons, we may not be able to utilize a material portion of our NOLs, even if we attain profitability, which could potentially result in increased future tax liability to us and could adversely affect our results of operations and financial condition.</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Comprehensive tax reform legislation could adversely affect our business and financial condition.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22, 2017, the Tax Cuts and Jobs Act of 2017 (the Tax Act) was signed into law. The Tax Act contains, among other things, significant changes to corporate taxation, including (i) a reduction of the corporate tax rate from a top marginal rate of 35% to a flat rate of 21%, (ii) a limitation of the tax deduction for interest expense to 30% of adjusted earnings (except for certain small businesses) (increased to 50% by the CARES Act for taxable years beginning in 2019 and 2020), (iii) a limitation of the deduction for NOLs in taxable years beginning after December 31, 2020 to 80% of current year taxable income in respect of NOLs generated during or after 2018 and elimination of net operating loss carrybacks for NOLs arising in tax years ending after December 31, 2020, (iv) a one-time tax on offshore earnings at reduced rates regardless of whether they are repatriated, (v) immediate deductions for certain new investments instead of deductions for depreciation expense over time, and (vi) a modification or repeal of many business deductions and credits. For federal NOLs arising in tax years beginning after December 31, 2017, the Tax Act (as modified by the CARES Act) limits a taxpayer’s ability to utilize federal NOL carryforwards in taxable years beginning after December 31, 2020 to 80% of taxable income. In addition, federal NOLs arising in tax years ending after December 31, 2017 can be carried forward indefinitely, but carryback of federal NOLs arising in tax years ending after December 31, 2020 is generally prohibited. It is uncertain if and to what extent various states will conform to the newly enacted federal tax law.</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2022, the Tax Act eliminated the option to currently deduct research and development expenditures in the period incurred and requires taxpayers to capitalize and amortize such domestic and foreign expenditures over five or fifteen years, respectively, pursuant to Section 174 of the Code. We will continue to examine the impact the Tax Act and CARES Act may have on our results of operations and financial condition.</w:t>
      </w:r>
    </w:p>
    <w:p>
      <w:pPr>
        <w:pStyle w:val="TextBody"/>
        <w:bidi w:val="0"/>
        <w:spacing w:lineRule="auto" w:line="244"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before="0" w:after="0"/>
        <w:jc w:val="both"/>
        <w:rPr/>
      </w:pPr>
      <w:r>
        <w:rPr/>
      </w:r>
    </w:p>
    <w:p>
      <w:pPr>
        <w:pStyle w:val="TextBody"/>
        <w:bidi w:val="0"/>
        <w:spacing w:lineRule="auto" w:line="237" w:before="0" w:after="0"/>
        <w:jc w:val="both"/>
        <w:rPr>
          <w:rFonts w:ascii="Times New Roman;sans-serif" w:hAnsi="Times New Roman;sans-serif"/>
          <w:b/>
          <w:i/>
          <w:color w:val="000000"/>
          <w:sz w:val="20"/>
        </w:rPr>
      </w:pPr>
      <w:r>
        <w:rPr>
          <w:rFonts w:ascii="Times New Roman;sans-serif" w:hAnsi="Times New Roman;sans-serif"/>
          <w:b/>
          <w:i/>
          <w:color w:val="000000"/>
          <w:sz w:val="20"/>
        </w:rPr>
        <w:t>Our indebtedness could adversely affect our financial condition and prevent us from fulfilling our existing or future debt obligations, and we may not generate sufficient cash flow from our business to pay our debt.</w:t>
      </w:r>
    </w:p>
    <w:p>
      <w:pPr>
        <w:pStyle w:val="TextBody"/>
        <w:bidi w:val="0"/>
        <w:spacing w:before="0" w:after="0"/>
        <w:jc w:val="both"/>
        <w:rPr/>
      </w:pPr>
      <w:r>
        <w:rPr/>
      </w:r>
    </w:p>
    <w:p>
      <w:pPr>
        <w:pStyle w:val="TextBody"/>
        <w:bidi w:val="0"/>
        <w:spacing w:lineRule="auto" w:line="23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14, 2020, we issued our Notes in an aggregate principal amount of $230.0 million, which will mature on April 15, 2025, unless earlier converted, redeemed, or repurchased. The Notes are governed by an indenture (Indenture) between us, as the issuer, and U.S. Bank National Association, as trustee. The Notes are our senior, unsecured obligations and accrue interest payable semiannually in arrears on April 15 and October 15 of each year, beginning on October 15, 2020, at a rate of 2.50% per year. The Indenture does not contain any financial covenants or restrictions on the payments of dividends, the incurrence of indebtedness, or the issuance or repurchase of securities by us or any of our subsidiaries. We may repurchase the Notes from time to time prior to the maturity date. A holder may convert all or any portion of its Notes, at its option, subject to certain conditions and during certain periods, into cash, shares of our common stock or a combination of cash and shares of our common stock, with the form of consideration determined at our election. Noteholders have the right to require us to repurchase all or a portion of their notes at 100% of the principal amount of the Notes to be repurchased, plus accrued and unpaid interest to, but excluding, the repurchase date, upon the occurrence of certain events. The conversion rate is initially 32.6797 shares of our common stock per $1,000 principal amount of Notes (which is equivalent to an initial conversion price of approximately $30.60 per share of our common stock). If the Notes have not previously been converted, redeemed or repurchased, we will be required to repay the Notes in cash at maturity.</w:t>
      </w:r>
    </w:p>
    <w:p>
      <w:pPr>
        <w:pStyle w:val="TextBody"/>
        <w:bidi w:val="0"/>
        <w:spacing w:before="0" w:after="0"/>
        <w:ind w:left="0" w:right="0" w:firstLine="360"/>
        <w:jc w:val="both"/>
        <w:rPr/>
      </w:pPr>
      <w:r>
        <w:rPr/>
      </w:r>
    </w:p>
    <w:p>
      <w:pPr>
        <w:pStyle w:val="TextBody"/>
        <w:bidi w:val="0"/>
        <w:spacing w:lineRule="auto" w:line="23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on July 16, 2024, we entered into the Credit Agreement, which provides for a five-year term loan facility (the Term Loan Facility) in an aggregate principal amount of up to $225 million, consisting of an initial term loan in the aggregate principal amount of $125 million, which was funded in full at closing, and a delayed draw term loan facility in the aggregate principal amount of $100 million, which was undrawn as of the closing.</w:t>
      </w:r>
    </w:p>
    <w:p>
      <w:pPr>
        <w:pStyle w:val="TextBody"/>
        <w:bidi w:val="0"/>
        <w:spacing w:before="0" w:after="0"/>
        <w:ind w:left="0" w:right="0" w:firstLine="360"/>
        <w:jc w:val="both"/>
        <w:rPr/>
      </w:pPr>
      <w:r>
        <w:rPr/>
      </w:r>
    </w:p>
    <w:p>
      <w:pPr>
        <w:pStyle w:val="TextBody"/>
        <w:bidi w:val="0"/>
        <w:spacing w:lineRule="auto" w:line="23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outstanding and any future debt obligations could make us more vulnerable to adverse changes in general U.S. and worldwide economic conditions, including rising interest rates, regulatory, and competitive conditions. We may not use the cash proceeds from the Notes and/or the Term Loan Facility in an optimally productive and profitable manner. Our ability to satisfy our debt obligations will depend on market conditions and our future performance, which is subject to economic, financial, competitive, and other factors, including those described in these risk factors, many of which are beyond our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50545"/>
                <wp:effectExtent l="0" t="0" r="0" b="0"/>
                <wp:wrapNone/>
                <wp:docPr id="100" name="Frame100"/>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3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case of the Notes, that includes our ability to make required cash payments in connection with redemptions or conversions of the Notes, repurchase the Notes upon the occurrence of certain events, or to repay or refinance the Notes at maturity. For example, we maintain cash balances with financial institutions in excess of insured limits, and there can be no assurance that we will be able to access uninsured funds in a timely manner or at all in the event of a failure of these financial institutions. In addition, our ability satisfy our debt obligations may be limited by law or regulatory authority or by other agreements governing our future indebtedness. </w:t>
      </w:r>
    </w:p>
    <w:p>
      <w:pPr>
        <w:pStyle w:val="TextBody"/>
        <w:bidi w:val="0"/>
        <w:spacing w:before="0" w:after="0"/>
        <w:ind w:left="0" w:right="0" w:firstLine="360"/>
        <w:jc w:val="both"/>
        <w:rPr/>
      </w:pPr>
      <w:r>
        <w:rPr/>
      </w:r>
    </w:p>
    <w:p>
      <w:pPr>
        <w:pStyle w:val="TextBody"/>
        <w:bidi w:val="0"/>
        <w:spacing w:lineRule="auto" w:line="237"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inception, our business has generated net losses, and we may continue to incur significant losses. As a result, we may not have enough available cash or be able to obtain financing at the time we are required to make payments owed under the Notes and/or the Term Loan Facility. If we are unable to satisfy our debt obligations, we may be required to seek funds from external sources, which may not be available on acceptable terms, if at all, and which could intensify the risks related to our indebtedness and further restrict our operating and financial flexibility. Further, any repayment of our debt with equity would dilute the ownership interests of our existing stockholders. In the event of a default on our debt obligations, we may be required to repurchase the Notes, amounts owed under our Term Loan Facility may be accelerated, and assets serving as collateral under our Term Loan Credit Facility may be subject to foreclosure. Any default under the Indenture or the Credit Agreement could also lead to a default under our future indebtedness and could have a material adverse effect on our business, results of operations, and financial condition. Further, if we are liquidated, the lender’s rights to repayment would be senior to the rights of the holders of our common stock to receive any proceeds from the liquidation.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Credit Agreement contains covenants and other provisions that restrict our ability to take certain actions and may limit our ability to operate or grow our business in the future.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certain affirmative covenants and negative covenants, including covenants that restrict our ability to take certain actions including, among other things and subject to certain exceptions, the incurrence of debt, the granting of liens, engaging in mergers and other fundamental changes, the making of investments, entering into transactions with affiliates, the payment of dividends and other restricted payments, the prepayment of other indebtedness and the sale of assets. The Credit Agreement also requires us to comply with a minimum liquidity threshold, a maximum recurring revenue-based ratio and a maximum EBITDA-based net leverage ratio. In addition, payments of amounts owed under the Term Loan Facility will require us to dedicate cash flow from operations or cash on hand, which will reduce the amounts available to fund working capital, capital expenditures, transactions (including pursuing strategic initiatives), and other general corporate purposes. Such limitations could limit our flexibility to plan for or react to changes in our business or industry; place us at a disadvantage compared to our competitors that have less debt; limit our ability to borrow or otherwise raise additional capital as needed; or otherwise have a material adverse effect on our business,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exposed to interest rate risks with regard to our Term Loan Facility and any future refinancing thereof.</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principal amounts under our Term Loan Facility are expected to accrue interest at a floating rate equal to SOFR plus 6.5% per year. In the event that SOFR is unavailable, interest will accrue at a floating rate equal to the alternate base rate plus 5.5% per year. Accordingly, whenever we have amounts outstanding under our Term Loan Facility, our cash flows and results of operations will be subject to interest rate risk exposure associated with the debt balance outstanding. We currently are not a party to an interest rate swap contract or other derivative instrument designed to hedge our exposure to interest rate fluctuation risk.</w:t>
      </w:r>
    </w:p>
    <w:p>
      <w:pPr>
        <w:pStyle w:val="TextBody"/>
        <w:bidi w:val="0"/>
        <w:spacing w:before="0" w:after="0"/>
        <w:jc w:val="left"/>
        <w:rPr/>
      </w:pPr>
      <w:r>
        <w:rPr/>
      </w:r>
    </w:p>
    <w:p>
      <w:pPr>
        <w:pStyle w:val="TextBody"/>
        <w:bidi w:val="0"/>
        <w:spacing w:lineRule="auto" w:line="237" w:before="0" w:after="0"/>
        <w:jc w:val="both"/>
        <w:rPr>
          <w:rFonts w:ascii="Times New Roman;sans-serif" w:hAnsi="Times New Roman;sans-serif"/>
          <w:b/>
          <w:i/>
          <w:color w:val="000000"/>
          <w:sz w:val="20"/>
        </w:rPr>
      </w:pPr>
      <w:r>
        <w:rPr>
          <w:rFonts w:ascii="Times New Roman;sans-serif" w:hAnsi="Times New Roman;sans-serif"/>
          <w:b/>
          <w:i/>
          <w:color w:val="000000"/>
          <w:sz w:val="20"/>
        </w:rPr>
        <w:t>Our Capped Calls may affect the value of our common stock and subject us to counterparty risk.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8, 2020, concurrently with the pricing of our Notes, in a private placement to qualified institutional buyers exempt from registration under the Securities Act (Note Offering), we entered into privately negotiated capped call transactions (Base Capped Calls) with certain financial institutions (the option counterparties). In addition, in connection with the initial purchasers’ exercise in full of their option to purchase additional Notes, on April 9, 2020, we entered into additional capped call transactions (Additional Capped Calls, and, together with the Base Capped Calls, the Capped Calls) with each of the option counterparties. We used approximately $21.6 million of the net proceeds from the Note Offering to pay the cost of the Capped Calls and allocated issuance costs. The Capped Calls have initial cap prices of $42.00 per share, subject to certain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50545"/>
                <wp:effectExtent l="0" t="0" r="0" b="0"/>
                <wp:wrapNone/>
                <wp:docPr id="101" name="Frame10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Capped Calls are expected generally to reduce the potential dilution to our common stock upon any conversion of Notes and/or offset any cash payments we are required to make in excess of the principal amount of converted Notes, as the case may be, with such reduction and/or offset subject to the cap price. The Capped Calls are separate transactions that we entered into with the option counterparties, and are not part of the terms of the Notes. The option counterparties are financial institutions or affiliates of financial institutions, and we will be subject to the risk that one or more of such option counterparties may default under the Capped Calls.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option counterparties or their respective affiliates may modify their hedge positions by entering into or unwinding various derivative transactions with respect to our common stock and/or purchasing or selling our common stock or our other securities in secondary market transactions prior to the maturity of the Notes. This activity could cause or avoid an increase or a decrease in the market price of our common stock. In addition,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Capped Calls. Our exposure will depend on many factors but, generally, the increase in our exposure will be correlated to the increase in our common stock market price and in the volatility of the market price of our common stock. In addition, upon a default by any option counterparty, we may suffer adverse tax consequences and dilution with respect to our common stock. We can provide no assurance as to the financial stability or viability of any option counterparty.</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an Investment in Our Securities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have a limited operating history in an evolving industry which makes it difficult to evaluate our current business future prospects and increases the risk of your investment.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launched operations in 2008 and we acquired Able Health, Healthfinch, Vitalware, Twistle, ARMUS, KPI Ninja, ERS, Carevive and Lumeon between February 2020 and August 2024. Our limited operating history, in particular with respect to the businesses we have recently acquired, makes it difficult to effectively assess or forecast our future prospects. You should consider our business and prospects in light of the risks and difficulties we encounter or may encounter.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risks and difficulties include our ability to cost-effectively acquire new clients and retain existing clients, maintain the quality of our technology infrastructure that can efficiently and reliably handle the requirements of our clients and deploy new features and solutions, and successfully compete with other companies that are currently in, or may enter, the healthcare solution space. Additional risks include our ability to effectively manage growth, achieve synergies, responsibly use the data that clients share with us, process, store, protect, and use personal data, including PHI, in compliance with governmental regulation, contractual obligations, and other legal obligations related to privacy and security and avoid interruptions or disruptions in our service or slower than expected load times for our Solution. If we fail to address the risks and difficulties that we face, including those associated with the challenges listed above, our business and our results of operations will be adversely affected.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have experienced significant net losses since inception, we expect to incur losses in the future, and we may not be able to generate sufficient revenue to achieve and maintain profitability.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significant net losses in the past, including net losses of $118.1 million and $137.4 million in the years ended December 31, 2023 and 2022, respectively. We had an accumulated deficit of $1,117.2 million as of December 31, 2023. We expect our costs will increase over time as we continue to invest to grow our business and build relationships with clients, develop our Solution, develop new solutions, and operate as a public company. These efforts may prove to be more expensive than we currently anticipate and external factors, such as macroeconomic challenges, including the high inflationary environment and rising interest rates, could cause an increase in our expenses, and we may not succeed in increasing our revenue sufficiently to offset these higher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50545"/>
                <wp:effectExtent l="0" t="0" r="0" b="0"/>
                <wp:wrapNone/>
                <wp:docPr id="102" name="Frame102"/>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we may need to raise additional capital through equity and debt financings in order to fund our operations. To date, we have financed our operations principally from the proceeds we received through private sales of equity securities, payments received from sales of our Solution, borrowings under our loan and security agreements, our IPO in July 2019, the Note Offering in April 2020, and an underwritten public offering of 4,882,075 shares (inclusive of the underwriters’ over-allotment option to purchase 636,792 shares) of our common stock at $53.00 per share in August 2021, from which we received net proceeds of $245.2 million, after deducting the underwriting discounts and commissions and other offering costs (the Secondary Public Equity Offering). We may also fail to improve the gross margins of our business. If we are unable to effectively manage these risks and difficulties as we encounter them, our business, financial condition, and results of operations would be adversely affected. Our failure to achieve or maintain profitability could negatively impact the value of our common stock.</w:t>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The market price of our common stock may be volatile and may decline regardless of our operating performance, and you may lose all or part of your investments.</w:t>
      </w:r>
    </w:p>
    <w:p>
      <w:pPr>
        <w:pStyle w:val="TextBody"/>
        <w:bidi w:val="0"/>
        <w:spacing w:before="0" w:after="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fluctuate significantly in response to numerous factors, many of which are beyond our control, including: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overall performance of the equity markets and/or publicly-listed technology companies;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actual or anticipated fluctuations in our net revenue or other operating metrics;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the financial projections we provide to the public or our failure to meet these projections;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failure of securities analysts to initiate or maintain coverage of us, changes in financial estimates by any securities analysts who follow our company, or our failure to meet the estimates or the expectations of investors;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economy as a whole and market conditions in our industry;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announcements by us or our competitors of significant innovations, acquisitions, strategic partnerships, joint ventures, or capital commitments;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lawsuits or investigations threatened or filed against us;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recruitment or departure of key personnel; and</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other events or factors, including those resulting from macroeconomic challenges (including high inflationary and/or high interest rate environments), war, bank or financial institution failures, incidents of terrorism, public health crises, or responses to these events.</w:t>
      </w:r>
    </w:p>
    <w:p>
      <w:pPr>
        <w:pStyle w:val="TextBody"/>
        <w:bidi w:val="0"/>
        <w:spacing w:lineRule="auto" w:line="288"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harm our business. 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net revenue or results of operations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net revenue or earnings forecasts that we may provide.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50545"/>
                <wp:effectExtent l="0" t="0" r="0" b="0"/>
                <wp:wrapNone/>
                <wp:docPr id="103" name="Frame103"/>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continue to publish research, or publish inaccurate or unfavorable research, about our business, the price of our common stock and trading volume could decline.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will depend in part on the research and reports that securities or industry analysts publish about us or our business. If industry analysts cease coverage of us, the trading price for our common stock could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on a regular basis, demand for our common stock could decrease, which might cause our common stock price and trading volume to decline.</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We cannot guarantee that the Share Repurchase Plan will be fully consummated or will enhance stockholder value, and share repurchases could affect the price of our common stock.</w:t>
      </w:r>
    </w:p>
    <w:p>
      <w:pPr>
        <w:pStyle w:val="TextBody"/>
        <w:bidi w:val="0"/>
        <w:spacing w:lineRule="auto" w:line="26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 2022, our board of directors authorized and approved the Share Repurchase Plan, pursuant to which we may repurchase up to $40.0 million of our outstanding shares of common stock. We began repurchasing shares of common stock under this program during the third quarter of 2022 and had $29.8 million available to purchase under the Share Repurchase Plan as of June 30, 2024. Repurchases of shares of common stock under the Share Repurchase Plan may be made from time to time, in the open market, in privately negotiated transactions or otherwise, with the amount and timing of repurchases to be determined at the discretion of our management, depending on market conditions and corporate needs. </w:t>
      </w:r>
    </w:p>
    <w:p>
      <w:pPr>
        <w:pStyle w:val="TextBody"/>
        <w:bidi w:val="0"/>
        <w:spacing w:lineRule="auto" w:line="26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Open market repurchases will be structured to occur in accordance with applicable federal securities laws, including within the pricing and volume requirements of Rule 10b-18 under the Exchange Act. We may also, from time to time, enter into Rule 10b5-1 plans to facilitate repurchases of our shares of common stock under this authorization. The timing, pricing, and sizes of these repurchases will depend on a number of factors, including the market price of our common stock and general market and economic conditions. The Share Repurchase Plan could affect the price of our common stock, increase volatility, and diminish our cash reserves.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management has broad discretion in the use of proceeds from our IPO, the Note Offering, and the Secondary Public Equity Offering and our use may not produce a positive rate of return.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purposes of our IPO were to increase our capitalization and financial flexibility, create a public market for our stock and thereby enable access to the public equity markets by our employees and stockholders, obtain additional capital, and strengthen our position in the healthcare data analytics applications and services market. We used a portion of the Note Offering proceeds to pay the cost of the Capped Call transactions and to prepay in full all outstanding indebtedness under our credit agreement with OrbiMed. We cannot specify with certainty our plans for the use of the net proceeds we received from these offerings. However, we intend to use the net proceeds we received from our IPO, the Note Offering, and our Secondary Public Equity Offering for working capital and other general corporate purposes. We may also use a portion of the net proceeds from these offerings for the acquisition of, or investment in, technologies, solutions or businesses that complement our business.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has broad discretion over the specific use of the net proceeds we received in these offerings and might not be able to obtain a significant return, if any, on investment of these net proceeds. Investors will need to rely upon the judgment of our management with respect to the use of proceeds. If we do not use the net proceeds that we received in our IPO, the Note Offering, and our Secondary Public Equity Offering effectively, our business, results of operations, and financial condition could be harmed.</w:t>
      </w:r>
    </w:p>
    <w:p>
      <w:pPr>
        <w:pStyle w:val="TextBody"/>
        <w:bidi w:val="0"/>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Our issuance of additional capital stock in connection with financings, acquisitions, investments, our stock incentive plans, or otherwise will dilute all other stockholders.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including through offerings similar to our Secondary Public Equity Offering during the third quarter of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50545"/>
                <wp:effectExtent l="0" t="0" r="0" b="0"/>
                <wp:wrapNone/>
                <wp:docPr id="104" name="Frame104"/>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may acquire or make investments in complementary companies, products, or technologies and issue equity securities to pay for any such acquisition or investment, such as our issuance of equity securities in connection with our acquisitions. Any such issuances of additional capital stock may cause stockholders to experience significant dilution of their ownership interests and the per-share value of our common stock to decline.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requirements of being a public company may strain our resources, divert management’s attention, and affect our ability to attract and retain executive management and qualified board members.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disclosure of information in filings required of a public company, our business and financial condition is more visible, which may result in an increased risk of threatened or actual litigation, including by competitors and other third parties. If such claims are successful, our business and results of operations could be harmed, and even if the claims do not result in litigation or are resolved in our favor, these claims, and the time and resources necessary to resolve them, could divert the resources of our management and harm our business, results of operations, and financial condition.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individuals who now constitute our senior management team have limited experience managing a publicly-traded company and limited experience complying with the increasingly complex laws pertaining to public companies. Our senior management team may not successfully or efficiently manage our transition to a public company that is subject to significant regulatory oversight and reporting obligations.</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50545"/>
                <wp:effectExtent l="0" t="0" r="0" b="0"/>
                <wp:wrapNone/>
                <wp:docPr id="105" name="Frame105"/>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common stock and, consequently, the ability of common stockholders to achieve a return on investment will depend on appreciation, if any, in the price of our common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rely on an investment in our common stock to provide dividend income. We have never declared or paid any dividends on our capital stock. We intend to retain any earnings to finance the operation and expansion of our business, and we do not anticipate paying any cash dividends in the foreseeable future. In addition, the terms of any future credit facility or financing we obtain may contain, terms prohibiting or limiting the amount of dividends that may be declared or paid on our common stock. As a result, common stockholders may only receive a ROI if the market price of our common stock increases.</w:t>
      </w:r>
    </w:p>
    <w:p>
      <w:pPr>
        <w:pStyle w:val="TextBody"/>
        <w:bidi w:val="0"/>
        <w:spacing w:lineRule="auto" w:line="247" w:before="0" w:after="240"/>
        <w:jc w:val="both"/>
        <w:rPr>
          <w:rFonts w:ascii="Times New Roman;sans-serif" w:hAnsi="Times New Roman;sans-serif"/>
          <w:b/>
          <w:i/>
          <w:color w:val="000000"/>
          <w:sz w:val="20"/>
        </w:rPr>
      </w:pPr>
      <w:r>
        <w:rPr>
          <w:rFonts w:ascii="Times New Roman;sans-serif" w:hAnsi="Times New Roman;sans-serif"/>
          <w:b/>
          <w:i/>
          <w:color w:val="000000"/>
          <w:sz w:val="20"/>
        </w:rPr>
        <w:t>We could be subject to securities class action litigation.</w:t>
      </w:r>
    </w:p>
    <w:p>
      <w:pPr>
        <w:pStyle w:val="TextBody"/>
        <w:bidi w:val="0"/>
        <w:spacing w:lineRule="auto" w:line="288" w:before="0" w:after="3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securities class action litigation has often been brought against a company following a decline in the market price of its securities. This risk is especially relevant for us because technology and healthcare technology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lineRule="auto" w:line="288" w:before="18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Charter and Bylaws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Provisions in our charter documents and under Delaware law could make an acquisition of our company more difficult, limit attempts by our stockholders to replace or remove our current board of directors, and limit the market price of our common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provide that our board of directors is classified into three classes of directors with staggered three-year terms;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permit the board of directors to establish the number of directors and fill any vacancies and newly-created directorships;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require super-majority voting to amend some provisions in our amended and restated certificate of incorporation and amended and restated bylaws;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authorize the issuance of “blank check” preferred stock that our board of directors could use to implement a stockholder rights plan;</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provide that only a majority of our board of directors will be authorized to call a special meeting of stockholders;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prohibit stockholder action by written consent, which requires all stockholder actions to be taken at a meeting of our stockholders;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provide that the board of directors is expressly authorized to make, alter, or repeal our bylaws;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advance notice requirements for nominations for election to our board of directors or for proposing matters that can be acted upon by stockholders at annual stockholder meetings.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50545"/>
                <wp:effectExtent l="0" t="0" r="0" b="0"/>
                <wp:wrapNone/>
                <wp:docPr id="106" name="Frame106"/>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bylaws designate a state or federal court located within the State of Delaware as the exclusive forum for certain litigation that may be initiated by our stockholders, which could limit stockholders’ ability to obtain a favorable judicial forum for disputes with us.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include an exclusive forum provision that provides that the Court of Chancery of the State of Delaware will be the exclusive forum for the following types of actions or proceedings under Delaware statutory or common law:</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derivative action or proceeding brought on our behalf;</w:t>
      </w:r>
    </w:p>
    <w:p>
      <w:pPr>
        <w:pStyle w:val="TextBody"/>
        <w:bidi w:val="0"/>
        <w:spacing w:lineRule="auto" w:line="268" w:before="0" w:after="180"/>
        <w:ind w:left="0" w:right="0" w:hanging="360"/>
        <w:jc w:val="left"/>
        <w:rPr/>
      </w:pPr>
      <w:r>
        <w:rPr>
          <w:color w:val="000000"/>
        </w:rPr>
        <w:t>•</w:t>
      </w:r>
      <w:r>
        <w:rPr>
          <w:rFonts w:ascii="Times New Roman;sans-serif" w:hAnsi="Times New Roman;sans-serif"/>
          <w:b w:val="false"/>
          <w:color w:val="000000"/>
          <w:sz w:val="20"/>
        </w:rPr>
        <w:t>any action asserting a breach of fiduciary duty owed to us or our stockholders by any of our current or former directors, officers or other employees;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action asserting a claim against us arising pursuant to the Delaware General Corporation Law, our amended and restated certificate of incorporation, or our amended and restated bylaws; or</w:t>
      </w:r>
    </w:p>
    <w:p>
      <w:pPr>
        <w:pStyle w:val="TextBody"/>
        <w:bidi w:val="0"/>
        <w:spacing w:lineRule="auto" w:line="268" w:before="0" w:after="180"/>
        <w:ind w:left="0" w:right="0" w:hanging="360"/>
        <w:jc w:val="left"/>
        <w:rPr/>
      </w:pPr>
      <w:r>
        <w:rPr>
          <w:color w:val="000000"/>
        </w:rPr>
        <w:t>•</w:t>
      </w:r>
      <w:r>
        <w:rPr>
          <w:rFonts w:ascii="Times New Roman;sans-serif" w:hAnsi="Times New Roman;sans-serif"/>
          <w:b w:val="false"/>
          <w:color w:val="000000"/>
          <w:sz w:val="20"/>
        </w:rPr>
        <w:t>any action that is governed by the internal affairs doctrine and asserts a claim against us or any of our current or former directors, officers or other employees or stockholders.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exclusive forum provision will not apply to any causes of action arising under the Securities Act. Further,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our amended and restated bylaws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however, a court may not enforce such provision.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which will be contained in our amended and restated bylaws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50545"/>
                <wp:effectExtent l="0" t="0" r="0" b="0"/>
                <wp:wrapNone/>
                <wp:docPr id="107" name="Frame107"/>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44" w:before="0" w:after="180"/>
        <w:jc w:val="both"/>
        <w:rPr>
          <w:rFonts w:ascii="Times New Roman;sans-serif" w:hAnsi="Times New Roman;sans-serif"/>
          <w:b/>
          <w:i/>
          <w:color w:val="000000"/>
          <w:sz w:val="20"/>
        </w:rPr>
      </w:pPr>
      <w:r>
        <w:rPr>
          <w:rFonts w:ascii="Times New Roman;sans-serif" w:hAnsi="Times New Roman;sans-serif"/>
          <w:b/>
          <w:i/>
          <w:color w:val="000000"/>
          <w:sz w:val="20"/>
        </w:rPr>
        <w:t>Changes in accounting principles may cause previously unanticipated fluctuations in our financial results, and the implementation of such changes may impact our ability to meet our financial reporting obligations.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We prepare our financial statements in accordance with U.S. GAAP which are subject to interpretation or changes by the Financial Accounting Standards Board (FASB), the SEC, and other various bodies formed to promulgate and interpret appropriate accounting principles. New accounting pronouncements and changes in accounting principles have occurred in the past and are expected to occur in the future which may have a significant effect on our financial results.</w:t>
      </w:r>
      <w:r>
        <w:rPr>
          <w:color w:val="000000"/>
        </w:rPr>
        <w:t xml:space="preserve"> </w:t>
      </w:r>
      <w:r>
        <w:rPr>
          <w:rFonts w:ascii="Times New Roman;sans-serif" w:hAnsi="Times New Roman;sans-serif"/>
          <w:b w:val="false"/>
          <w:color w:val="000000"/>
          <w:sz w:val="20"/>
        </w:rPr>
        <w:t>Furthermore, any difficulties in implementation of changes in accounting principles, including the ability to modify our accounting systems, could cause us to fail to meet our financial reporting obligations, which could result in regulatory discipline and harm investors’ confidence in us.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Economic uncertainties or downturns in the general economy or the industries in which our clients operate could disproportionately affect the demand for our Solution and negatively impact our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worldwide economic conditions have experienced significant downturns during the last ten or more years, and market volatility and uncertainty remain widespread, making it potentially very difficult for our clients and us to accurately forecast and plan future business activities. During challenging economic times, our clients may have difficulty gaining timely access to sufficient credit or obtaining credit on reasonable terms, increased costs, and/or other negative financial impacts, each of which could impair their ability to make timely payments to us, reduce client expansion and new client acquisition, increase client churn, and adversely affect our revenue. If that were to occur, our financial results could be harmed. Further, challenging economic conditions may impair the ability of our clients to pay for the applications and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could be harmed.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Investors’ expectations of our performance relating to environmental, social, and governance factors may impose additional costs and expose us to new risks.</w:t>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is an increasing focus from certain investors, employees, and other stakeholders concerning corporate responsibility, specifically related to environmental, social, and governance factors. For example, increasingly there are disclosure regulations focused on environmental, social and sustainability matters. The SEC recently adopted final climate change disclosure regulation that, if it survives the litigation it is currently subject to, will require us to make certain disclosures that may be costly for our company. We are currently evaluating this regulation to determine its impact on us.</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investors may use these factors to guide their investment strategies and, in some cases, may choose not to invest in us if they believe our policies relating to corporate responsibility are inadequate. Third-party providers of corporate responsibility ratings and reports on companies have increased to meet growing investor demand for measurement of corporate responsibility performance. The criteria by which companies’ corporate responsibility practices are assessed may change, which could result in greater expectations of us and cause us to undertake costly initiatives to satisfy such new criteria. If we elect not to or are unable to satisfy such new criteria, investors may conclude that our policies with respect to corporate responsibility are inadequate. We may face reputational damage in the event that our corporate responsibility procedures or standards do not meet the standards set by various constituencies.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our competitors’ corporate responsibility performance is perceived to be greater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if our initiatives are not executed as planned, our reputation and business, operating results, and financial condition could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50545"/>
                <wp:effectExtent l="0" t="0" r="0" b="0"/>
                <wp:wrapNone/>
                <wp:docPr id="108" name="Frame108"/>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Unregistered Sales of Equity Securities and Use of Proceeds</w:t>
      </w:r>
    </w:p>
    <w:p>
      <w:pPr>
        <w:pStyle w:val="TextBody"/>
        <w:bidi w:val="0"/>
        <w:spacing w:lineRule="auto" w:line="288"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unregistered sales of equity securities during the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None.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None.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During the three months ended June 30, 2024, the following directors or officers of the Company adopted a “Rule 10b5-1 trading arrangement”, as defined in Item 408(a) of Regulation S-K:</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68"/>
        <w:gridCol w:w="517"/>
        <w:gridCol w:w="518"/>
        <w:gridCol w:w="109"/>
        <w:gridCol w:w="109"/>
        <w:gridCol w:w="109"/>
        <w:gridCol w:w="707"/>
        <w:gridCol w:w="707"/>
        <w:gridCol w:w="709"/>
        <w:gridCol w:w="109"/>
        <w:gridCol w:w="109"/>
        <w:gridCol w:w="109"/>
        <w:gridCol w:w="352"/>
        <w:gridCol w:w="352"/>
        <w:gridCol w:w="354"/>
        <w:gridCol w:w="109"/>
        <w:gridCol w:w="109"/>
        <w:gridCol w:w="109"/>
        <w:gridCol w:w="402"/>
        <w:gridCol w:w="402"/>
        <w:gridCol w:w="404"/>
        <w:gridCol w:w="109"/>
        <w:gridCol w:w="109"/>
        <w:gridCol w:w="109"/>
        <w:gridCol w:w="308"/>
        <w:gridCol w:w="308"/>
        <w:gridCol w:w="310"/>
        <w:gridCol w:w="109"/>
        <w:gridCol w:w="109"/>
        <w:gridCol w:w="109"/>
        <w:gridCol w:w="452"/>
        <w:gridCol w:w="452"/>
        <w:gridCol w:w="648"/>
      </w:tblGrid>
      <w:tr>
        <w:trPr/>
        <w:tc>
          <w:tcPr>
            <w:tcW w:w="6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Type of 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Date Adopted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Duration</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Shares to be Sold</w:t>
            </w:r>
          </w:p>
        </w:tc>
      </w:tr>
      <w:tr>
        <w:trPr/>
        <w:tc>
          <w:tcPr>
            <w:tcW w:w="1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Duncan Gallagher,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Rule 10b5-1 Trading Arrangement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9,000</w:t>
            </w:r>
          </w:p>
        </w:tc>
      </w:tr>
    </w:tbl>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Rule 10b5-1 trading arrangement permits transactions through and including the earlier to occur of (a) completion of all sales or (b) the expiration date listed in the table.</w:t>
      </w:r>
    </w:p>
    <w:p>
      <w:pPr>
        <w:pStyle w:val="TextBody"/>
        <w:bidi w:val="0"/>
        <w:spacing w:before="0" w:after="0"/>
        <w:ind w:left="0" w:right="0" w:firstLine="36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50545"/>
                <wp:effectExtent l="0" t="0" r="0" b="0"/>
                <wp:wrapNone/>
                <wp:docPr id="109" name="Frame109"/>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0"/>
        <w:gridCol w:w="238"/>
        <w:gridCol w:w="240"/>
        <w:gridCol w:w="109"/>
        <w:gridCol w:w="109"/>
        <w:gridCol w:w="109"/>
        <w:gridCol w:w="1849"/>
        <w:gridCol w:w="1528"/>
        <w:gridCol w:w="1529"/>
        <w:gridCol w:w="518"/>
        <w:gridCol w:w="518"/>
        <w:gridCol w:w="519"/>
        <w:gridCol w:w="584"/>
        <w:gridCol w:w="584"/>
        <w:gridCol w:w="586"/>
        <w:gridCol w:w="377"/>
        <w:gridCol w:w="222"/>
        <w:gridCol w:w="316"/>
      </w:tblGrid>
      <w:tr>
        <w:trPr/>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Exhibit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Document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 from Form</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 from Exhibit Number</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Filed</w:t>
            </w:r>
          </w:p>
        </w:tc>
      </w:tr>
      <w:tr>
        <w:trPr/>
        <w:tc>
          <w:tcPr>
            <w:tcW w:w="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12, 2019</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12, 2019</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Amended and Restated Bylaws.</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 2021</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common stock certificate.</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12, 2019</w:t>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healthcatalyst-c.htm">
              <w:r>
                <w:rPr>
                  <w:rStyle w:val="InternetLink"/>
                  <w:rFonts w:ascii="Times New Roman;sans-serif" w:hAnsi="Times New Roman;sans-serif"/>
                  <w:b w:val="false"/>
                  <w:color w:val="0000FF"/>
                  <w:sz w:val="20"/>
                  <w:u w:val="single"/>
                </w:rPr>
                <w:t>Credit Agreement, dated July 16, 2024, between the Registrant and Silver Point Finance, LLC</w:t>
              </w:r>
            </w:hyperlink>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0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0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4xcertific.htm">
              <w:r>
                <w:rPr>
                  <w:rStyle w:val="InternetLink"/>
                  <w:rFonts w:ascii="Times New Roman;sans-serif" w:hAnsi="Times New Roman;sans-serif"/>
                  <w:b w:val="false"/>
                  <w:color w:val="0000FF"/>
                  <w:sz w:val="20"/>
                  <w:u w:val="single"/>
                </w:rPr>
                <w:t>Certification of Chief Executive Officer pursuant to Exchange Act Rules 13a-14(a) and 15d-14(a), as adopted pursuant to Section 302 of the Sarbanes-Oxley Act of 2002.</w:t>
              </w:r>
            </w:hyperlink>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4xcertific.htm">
              <w:r>
                <w:rPr>
                  <w:rStyle w:val="InternetLink"/>
                  <w:rFonts w:ascii="Times New Roman;sans-serif" w:hAnsi="Times New Roman;sans-serif"/>
                  <w:b w:val="false"/>
                  <w:color w:val="0000FF"/>
                  <w:sz w:val="20"/>
                  <w:u w:val="single"/>
                </w:rPr>
                <w:t>Certification of Chief Financial Officer pursuant to Exchange Act Rules 13a-14(a) and 15d-14(a), as adopted pursuant to Section 302 of the Sarbanes-Oxley Act of 2002.</w:t>
              </w:r>
            </w:hyperlink>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024xcertific.htm">
              <w:r>
                <w:rPr>
                  <w:rStyle w:val="InternetLink"/>
                  <w:rFonts w:ascii="Times New Roman;sans-serif" w:hAnsi="Times New Roman;sans-serif"/>
                  <w:b w:val="false"/>
                  <w:color w:val="0000FF"/>
                  <w:sz w:val="20"/>
                  <w:u w:val="single"/>
                </w:rPr>
                <w:t>Certifications of the Chief Executive Officer and Chief Financial Officer pursuant to 18 U.S.C. Section 1350, as adopted pursuant to Section 906 of the Sarbanes-Oxley Act of 2002.</w:t>
              </w:r>
            </w:hyperlink>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Schedules and exhibits have been omitted pursuant to Item 601(a)(5) of Regulation S-K and portions of this exhibit have been redacted in compliance with Item 601(b)(10)(iv) of Regulation S-K.</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The certifications attached as Exhibit 32.1 accompanying this Quarterly Report on Form 10-Q, are deemed furnished and not filed with the Securities and Exchange Commission and are not to be incorporated by reference into any filing of Health Catalyst,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the Registrant has duly caused this Quarterly Report on Form 10-Q to be signed on its behalf by the undersigned, thereunto duly authorized.</w:t>
      </w:r>
    </w:p>
    <w:tbl>
      <w:tblPr>
        <w:tblW w:w="7176" w:type="dxa"/>
        <w:jc w:val="left"/>
        <w:tblInd w:w="0" w:type="dxa"/>
        <w:tblLayout w:type="fixed"/>
        <w:tblCellMar>
          <w:top w:w="28" w:type="dxa"/>
          <w:left w:w="28" w:type="dxa"/>
          <w:bottom w:w="28" w:type="dxa"/>
          <w:right w:w="28" w:type="dxa"/>
        </w:tblCellMar>
      </w:tblPr>
      <w:tblGrid>
        <w:gridCol w:w="241"/>
        <w:gridCol w:w="212"/>
        <w:gridCol w:w="212"/>
        <w:gridCol w:w="212"/>
        <w:gridCol w:w="212"/>
        <w:gridCol w:w="213"/>
        <w:gridCol w:w="109"/>
        <w:gridCol w:w="109"/>
        <w:gridCol w:w="109"/>
        <w:gridCol w:w="1269"/>
        <w:gridCol w:w="1269"/>
        <w:gridCol w:w="1287"/>
        <w:gridCol w:w="109"/>
        <w:gridCol w:w="109"/>
        <w:gridCol w:w="109"/>
        <w:gridCol w:w="406"/>
        <w:gridCol w:w="406"/>
        <w:gridCol w:w="583"/>
      </w:tblGrid>
      <w:tr>
        <w:trPr/>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13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30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Jason Alger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r>
      <w:tr>
        <w:trPr/>
        <w:tc>
          <w:tcPr>
            <w:tcW w:w="13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Jason Alger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40" w:before="0" w:after="0"/>
        <w:jc w:val="right"/>
        <w:rPr>
          <w:rFonts w:ascii="Times New Roman;sans-serif" w:hAnsi="Times New Roman;sans-serif"/>
          <w:b/>
          <w:i/>
          <w:color w:val="000000"/>
          <w:sz w:val="22"/>
        </w:rPr>
      </w:pPr>
      <w:r>
        <w:rPr>
          <w:rFonts w:ascii="Times New Roman;sans-serif" w:hAnsi="Times New Roman;sans-serif"/>
          <w:b/>
          <w:i/>
          <w:color w:val="000000"/>
          <w:sz w:val="22"/>
        </w:rPr>
        <w:t>Execution Version</w: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SENIOR SECURED CREDIT FACILITIES</w:t>
      </w:r>
    </w:p>
    <w:p>
      <w:pPr>
        <w:pStyle w:val="TextBody"/>
        <w:bidi w:val="0"/>
        <w:spacing w:lineRule="auto" w:line="288" w:before="0" w:after="480"/>
        <w:jc w:val="center"/>
        <w:rPr>
          <w:rFonts w:ascii="Times New Roman;sans-serif" w:hAnsi="Times New Roman;sans-serif"/>
          <w:b/>
          <w:color w:val="000000"/>
          <w:sz w:val="22"/>
        </w:rPr>
      </w:pPr>
      <w:r>
        <w:rPr>
          <w:rFonts w:ascii="Times New Roman;sans-serif" w:hAnsi="Times New Roman;sans-serif"/>
          <w:b/>
          <w:color w:val="000000"/>
          <w:sz w:val="22"/>
        </w:rPr>
        <w:t>CREDIT AGREEMENT</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dated as of July 16, 2024, </w:t>
      </w:r>
    </w:p>
    <w:p>
      <w:pPr>
        <w:pStyle w:val="TextBody"/>
        <w:bidi w:val="0"/>
        <w:spacing w:lineRule="auto" w:line="288" w:before="0" w:after="480"/>
        <w:jc w:val="center"/>
        <w:rPr>
          <w:rFonts w:ascii="Times New Roman;sans-serif" w:hAnsi="Times New Roman;sans-serif"/>
          <w:b w:val="false"/>
          <w:color w:val="000000"/>
          <w:sz w:val="22"/>
        </w:rPr>
      </w:pPr>
      <w:r>
        <w:rPr>
          <w:rFonts w:ascii="Times New Roman;sans-serif" w:hAnsi="Times New Roman;sans-serif"/>
          <w:b w:val="false"/>
          <w:color w:val="000000"/>
          <w:sz w:val="22"/>
        </w:rPr>
        <w:t>among</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HEALTH CATALYST, INC.,</w:t>
      </w:r>
    </w:p>
    <w:p>
      <w:pPr>
        <w:pStyle w:val="TextBody"/>
        <w:bidi w:val="0"/>
        <w:spacing w:lineRule="auto" w:line="288" w:before="0" w:after="480"/>
        <w:jc w:val="center"/>
        <w:rPr>
          <w:rFonts w:ascii="Times New Roman;sans-serif" w:hAnsi="Times New Roman;sans-serif"/>
          <w:b w:val="false"/>
          <w:color w:val="000000"/>
          <w:sz w:val="22"/>
        </w:rPr>
      </w:pPr>
      <w:r>
        <w:rPr>
          <w:rFonts w:ascii="Times New Roman;sans-serif" w:hAnsi="Times New Roman;sans-serif"/>
          <w:b w:val="false"/>
          <w:color w:val="000000"/>
          <w:sz w:val="22"/>
        </w:rPr>
        <w:t>as the Borrower,</w:t>
      </w:r>
    </w:p>
    <w:p>
      <w:pPr>
        <w:pStyle w:val="TextBody"/>
        <w:bidi w:val="0"/>
        <w:spacing w:lineRule="auto" w:line="288" w:before="0" w:after="480"/>
        <w:jc w:val="center"/>
        <w:rPr>
          <w:rFonts w:ascii="Times New Roman;sans-serif" w:hAnsi="Times New Roman;sans-serif"/>
          <w:b/>
          <w:color w:val="000000"/>
          <w:sz w:val="22"/>
        </w:rPr>
      </w:pPr>
      <w:r>
        <w:rPr>
          <w:rFonts w:ascii="Times New Roman;sans-serif" w:hAnsi="Times New Roman;sans-serif"/>
          <w:b/>
          <w:color w:val="000000"/>
          <w:sz w:val="22"/>
        </w:rPr>
        <w:t>THE LENDERS FROM TIME TO TIME PARTY HERETO,</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88" w:before="0" w:after="480"/>
        <w:jc w:val="center"/>
        <w:rPr>
          <w:rFonts w:ascii="Times New Roman;sans-serif" w:hAnsi="Times New Roman;sans-serif"/>
          <w:b/>
          <w:color w:val="000000"/>
          <w:sz w:val="22"/>
        </w:rPr>
      </w:pPr>
      <w:r>
        <w:rPr>
          <w:rFonts w:ascii="Times New Roman;sans-serif" w:hAnsi="Times New Roman;sans-serif"/>
          <w:b/>
          <w:color w:val="000000"/>
          <w:sz w:val="22"/>
        </w:rPr>
        <w:t>SILVER POINT FINANCE, LLC</w:t>
      </w:r>
    </w:p>
    <w:p>
      <w:pPr>
        <w:pStyle w:val="TextBody"/>
        <w:bidi w:val="0"/>
        <w:spacing w:lineRule="auto" w:line="288" w:before="0" w:after="480"/>
        <w:jc w:val="center"/>
        <w:rPr/>
      </w:pPr>
      <w:r>
        <w:rPr>
          <w:rFonts w:ascii="Times New Roman;sans-serif" w:hAnsi="Times New Roman;sans-serif"/>
          <w:b w:val="false"/>
          <w:color w:val="000000"/>
          <w:sz w:val="22"/>
        </w:rPr>
        <w:t xml:space="preserve">as Administrative Agent, </w:t>
      </w:r>
      <w:r>
        <w:rPr>
          <w:rFonts w:ascii="Times New Roman;sans-serif" w:hAnsi="Times New Roman;sans-serif"/>
          <w:b/>
          <w:color w:val="000000"/>
          <w:sz w:val="22"/>
        </w:rPr>
        <w:br/>
      </w:r>
      <w:r>
        <w:rPr>
          <w:rFonts w:ascii="Times New Roman;sans-serif" w:hAnsi="Times New Roman;sans-serif"/>
          <w:b w:val="false"/>
          <w:color w:val="000000"/>
          <w:sz w:val="22"/>
        </w:rPr>
        <w:t>as Sole Lead Arranger and Bookrunner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20140"/>
                <wp:effectExtent l="0" t="0" r="0" b="0"/>
                <wp:wrapNone/>
                <wp:docPr id="112" name="Frame112"/>
                <a:graphic xmlns:a="http://schemas.openxmlformats.org/drawingml/2006/main">
                  <a:graphicData uri="http://schemas.microsoft.com/office/word/2010/wordprocessingShape">
                    <wps:wsp>
                      <wps:cNvSpPr txBox="1"/>
                      <wps:spPr>
                        <a:xfrm>
                          <a:off x="0" y="0"/>
                          <a:ext cx="6480175" cy="1120140"/>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SPECIFIC TERMS IN THIS AGREEMENT HAVE BEEN REDACTED BECAUSE SUCH TERMS ARE BOTH NOT MATERIAL AND ARE OF A TYPE THAT HEALTH CATALYST, INC. TREATS AS CONFIDENTIAL. THESE REDACTED TERMS HAVE BEEN MARKED IN THIS EXHIBIT AT THE APPROPRIATE PLACE WITH THREE ASTERISKS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2pt;mso-wrap-distance-left:0pt;mso-wrap-distance-right:0pt;mso-wrap-distance-top:0pt;mso-wrap-distance-bottom:0pt;margin-top:0pt;mso-position-vertical:top;mso-position-vertical-relative:text;margin-left:-184.95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SPECIFIC TERMS IN THIS AGREEMENT HAVE BEEN REDACTED BECAUSE SUCH TERMS ARE BOTH NOT MATERIAL AND ARE OF A TYPE THAT HEALTH CATALYST, INC. TREATS AS CONFIDENTIAL. THESE REDACTED TERMS HAVE BEEN MARKED IN THIS EXHIBIT AT THE APPROPRIATE PLACE WITH THREE ASTERISKS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lineRule="auto" w:line="288" w:before="0" w:after="100"/>
        <w:ind w:left="0" w:right="0" w:hanging="720"/>
        <w:jc w:val="both"/>
        <w:rPr/>
      </w:pPr>
      <w:r>
        <w:rPr>
          <w:rFonts w:ascii="Times New Roman;sans-serif" w:hAnsi="Times New Roman;sans-serif"/>
          <w:b w:val="false"/>
          <w:color w:val="000000"/>
          <w:sz w:val="22"/>
        </w:rPr>
        <w:t>1.1</w:t>
      </w:r>
      <w:r>
        <w:rPr>
          <w:color w:val="000000"/>
        </w:rPr>
        <w:t>    </w:t>
      </w:r>
      <w:r>
        <w:rPr>
          <w:rFonts w:ascii="Times New Roman;sans-serif" w:hAnsi="Times New Roman;sans-serif"/>
          <w:b w:val="false"/>
          <w:color w:val="000000"/>
          <w:sz w:val="22"/>
        </w:rPr>
        <w:t>Defined Terms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1.2</w:t>
      </w:r>
      <w:r>
        <w:rPr>
          <w:color w:val="000000"/>
        </w:rPr>
        <w:t>    </w:t>
      </w:r>
      <w:r>
        <w:rPr>
          <w:rFonts w:ascii="Times New Roman;sans-serif" w:hAnsi="Times New Roman;sans-serif"/>
          <w:b w:val="false"/>
          <w:color w:val="000000"/>
          <w:sz w:val="22"/>
        </w:rPr>
        <w:t>Other Definitional Provisions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48</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1.3</w:t>
      </w:r>
      <w:r>
        <w:rPr>
          <w:color w:val="000000"/>
        </w:rPr>
        <w:t>    </w:t>
      </w:r>
      <w:r>
        <w:rPr>
          <w:rFonts w:ascii="Times New Roman;sans-serif" w:hAnsi="Times New Roman;sans-serif"/>
          <w:b w:val="false"/>
          <w:color w:val="000000"/>
          <w:sz w:val="22"/>
        </w:rPr>
        <w:t>Rounding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49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1.4</w:t>
      </w:r>
      <w:r>
        <w:rPr>
          <w:color w:val="000000"/>
        </w:rPr>
        <w:t>    </w:t>
      </w:r>
      <w:r>
        <w:rPr>
          <w:rFonts w:ascii="Times New Roman;sans-serif" w:hAnsi="Times New Roman;sans-serif"/>
          <w:b w:val="false"/>
          <w:color w:val="000000"/>
          <w:sz w:val="22"/>
        </w:rPr>
        <w:t>Currency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49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1.5</w:t>
      </w:r>
      <w:r>
        <w:rPr>
          <w:color w:val="000000"/>
        </w:rPr>
        <w:t>    </w:t>
      </w:r>
      <w:r>
        <w:rPr>
          <w:rFonts w:ascii="Times New Roman;sans-serif" w:hAnsi="Times New Roman;sans-serif"/>
          <w:b w:val="false"/>
          <w:color w:val="000000"/>
          <w:sz w:val="22"/>
        </w:rPr>
        <w:t>Limited Condition Acquisitions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50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1.6</w:t>
      </w:r>
      <w:r>
        <w:rPr>
          <w:color w:val="000000"/>
        </w:rPr>
        <w:t>    </w:t>
      </w:r>
      <w:r>
        <w:rPr>
          <w:rFonts w:ascii="Times New Roman;sans-serif" w:hAnsi="Times New Roman;sans-serif"/>
          <w:b w:val="false"/>
          <w:color w:val="000000"/>
          <w:sz w:val="22"/>
        </w:rPr>
        <w:t>Rates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50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1.7</w:t>
      </w:r>
      <w:r>
        <w:rPr>
          <w:color w:val="000000"/>
        </w:rPr>
        <w:t>    </w:t>
      </w:r>
      <w:r>
        <w:rPr>
          <w:rFonts w:ascii="Times New Roman;sans-serif" w:hAnsi="Times New Roman;sans-serif"/>
          <w:b w:val="false"/>
          <w:color w:val="000000"/>
          <w:sz w:val="22"/>
        </w:rPr>
        <w:t>Agreed Security Principles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51</w:t>
        </w:r>
      </w:hyperlink>
    </w:p>
    <w:p>
      <w:pPr>
        <w:pStyle w:val="TextBody"/>
        <w:bidi w:val="0"/>
        <w:spacing w:lineRule="auto" w:line="288" w:before="0" w:after="100"/>
        <w:jc w:val="both"/>
        <w:rPr/>
      </w:pPr>
      <w:r>
        <w:rPr>
          <w:rFonts w:ascii="Times New Roman;sans-serif" w:hAnsi="Times New Roman;sans-serif"/>
          <w:b w:val="false"/>
          <w:color w:val="000000"/>
          <w:sz w:val="22"/>
        </w:rPr>
        <w:t>SECTION 2 AMOUNT AND TERMS OF COMMITMENTS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51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2.1</w:t>
      </w:r>
      <w:r>
        <w:rPr>
          <w:color w:val="000000"/>
        </w:rPr>
        <w:t>    </w:t>
      </w:r>
      <w:r>
        <w:rPr>
          <w:rFonts w:ascii="Times New Roman;sans-serif" w:hAnsi="Times New Roman;sans-serif"/>
          <w:b w:val="false"/>
          <w:color w:val="000000"/>
          <w:sz w:val="22"/>
        </w:rPr>
        <w:t>Commitments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51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2.2</w:t>
      </w:r>
      <w:r>
        <w:rPr>
          <w:color w:val="000000"/>
        </w:rPr>
        <w:t>    </w:t>
      </w:r>
      <w:r>
        <w:rPr>
          <w:rFonts w:ascii="Times New Roman;sans-serif" w:hAnsi="Times New Roman;sans-serif"/>
          <w:b w:val="false"/>
          <w:color w:val="000000"/>
          <w:sz w:val="22"/>
        </w:rPr>
        <w:t>Procedure for Borrowing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52</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2.3</w:t>
      </w:r>
      <w:r>
        <w:rPr>
          <w:color w:val="000000"/>
        </w:rPr>
        <w:t>    </w:t>
      </w:r>
      <w:r>
        <w:rPr>
          <w:rFonts w:ascii="Times New Roman;sans-serif" w:hAnsi="Times New Roman;sans-serif"/>
          <w:b w:val="false"/>
          <w:color w:val="000000"/>
          <w:sz w:val="22"/>
        </w:rPr>
        <w:t>Repayment of Loans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54</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2.4</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55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2.5</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55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2.6</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55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2.7</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55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2.8</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55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2.9</w:t>
      </w:r>
      <w:r>
        <w:rPr>
          <w:color w:val="000000"/>
        </w:rPr>
        <w:t>    </w:t>
      </w:r>
      <w:r>
        <w:rPr>
          <w:rFonts w:ascii="Times New Roman;sans-serif" w:hAnsi="Times New Roman;sans-serif"/>
          <w:b w:val="false"/>
          <w:color w:val="000000"/>
          <w:sz w:val="22"/>
        </w:rPr>
        <w:t>Fees; Prepayment Premium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55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2.10</w:t>
      </w:r>
      <w:r>
        <w:rPr>
          <w:color w:val="000000"/>
        </w:rPr>
        <w:t>    </w:t>
      </w:r>
      <w:r>
        <w:rPr>
          <w:rFonts w:ascii="Times New Roman;sans-serif" w:hAnsi="Times New Roman;sans-serif"/>
          <w:b w:val="false"/>
          <w:color w:val="000000"/>
          <w:sz w:val="22"/>
        </w:rPr>
        <w:t>Termination or Reduction of Commitments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56</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2.11</w:t>
      </w:r>
      <w:r>
        <w:rPr>
          <w:color w:val="000000"/>
        </w:rPr>
        <w:t>    </w:t>
      </w:r>
      <w:r>
        <w:rPr>
          <w:rFonts w:ascii="Times New Roman;sans-serif" w:hAnsi="Times New Roman;sans-serif"/>
          <w:b w:val="false"/>
          <w:color w:val="000000"/>
          <w:sz w:val="22"/>
        </w:rPr>
        <w:t>Optional Loan Prepayments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57</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2.12</w:t>
      </w:r>
      <w:r>
        <w:rPr>
          <w:color w:val="000000"/>
        </w:rPr>
        <w:t>    </w:t>
      </w:r>
      <w:r>
        <w:rPr>
          <w:rFonts w:ascii="Times New Roman;sans-serif" w:hAnsi="Times New Roman;sans-serif"/>
          <w:b w:val="false"/>
          <w:color w:val="000000"/>
          <w:sz w:val="22"/>
        </w:rPr>
        <w:t>Mandatory Prepayments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57</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2.13</w:t>
      </w:r>
      <w:r>
        <w:rPr>
          <w:color w:val="000000"/>
        </w:rPr>
        <w:t>    </w:t>
      </w:r>
      <w:r>
        <w:rPr>
          <w:rFonts w:ascii="Times New Roman;sans-serif" w:hAnsi="Times New Roman;sans-serif"/>
          <w:b w:val="false"/>
          <w:color w:val="000000"/>
          <w:sz w:val="22"/>
        </w:rPr>
        <w:t>Conversion and Continuation Options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59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2.14</w:t>
      </w:r>
      <w:r>
        <w:rPr>
          <w:color w:val="000000"/>
        </w:rPr>
        <w:t>    </w:t>
      </w:r>
      <w:r>
        <w:rPr>
          <w:rFonts w:ascii="Times New Roman;sans-serif" w:hAnsi="Times New Roman;sans-serif"/>
          <w:b w:val="false"/>
          <w:color w:val="000000"/>
          <w:sz w:val="22"/>
        </w:rPr>
        <w:t>Limitations on SOFR Tranches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60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2.15</w:t>
      </w:r>
      <w:r>
        <w:rPr>
          <w:color w:val="000000"/>
        </w:rPr>
        <w:t>    </w:t>
      </w:r>
      <w:r>
        <w:rPr>
          <w:rFonts w:ascii="Times New Roman;sans-serif" w:hAnsi="Times New Roman;sans-serif"/>
          <w:b w:val="false"/>
          <w:color w:val="000000"/>
          <w:sz w:val="22"/>
        </w:rPr>
        <w:t>Interest Rates and Payment Dates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60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2.16</w:t>
      </w:r>
      <w:r>
        <w:rPr>
          <w:color w:val="000000"/>
        </w:rPr>
        <w:t>    </w:t>
      </w:r>
      <w:r>
        <w:rPr>
          <w:rFonts w:ascii="Times New Roman;sans-serif" w:hAnsi="Times New Roman;sans-serif"/>
          <w:b w:val="false"/>
          <w:color w:val="000000"/>
          <w:sz w:val="22"/>
        </w:rPr>
        <w:t>Computation of Interest and Fees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60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2.17</w:t>
      </w:r>
      <w:r>
        <w:rPr>
          <w:color w:val="000000"/>
        </w:rPr>
        <w:t>    </w:t>
      </w:r>
      <w:r>
        <w:rPr>
          <w:rFonts w:ascii="Times New Roman;sans-serif" w:hAnsi="Times New Roman;sans-serif"/>
          <w:b w:val="false"/>
          <w:color w:val="000000"/>
          <w:sz w:val="22"/>
        </w:rPr>
        <w:t>Inability to Determine Interest Rate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61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2.18</w:t>
      </w:r>
      <w:r>
        <w:rPr>
          <w:color w:val="000000"/>
        </w:rPr>
        <w:t>    </w:t>
      </w:r>
      <w:r>
        <w:rPr>
          <w:rFonts w:ascii="Times New Roman;sans-serif" w:hAnsi="Times New Roman;sans-serif"/>
          <w:b w:val="false"/>
          <w:color w:val="000000"/>
          <w:sz w:val="22"/>
        </w:rPr>
        <w:t>Pro Rata Treatment and Payments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63</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2.19</w:t>
      </w:r>
      <w:r>
        <w:rPr>
          <w:color w:val="000000"/>
        </w:rPr>
        <w:t>    </w:t>
      </w:r>
      <w:r>
        <w:rPr>
          <w:rFonts w:ascii="Times New Roman;sans-serif" w:hAnsi="Times New Roman;sans-serif"/>
          <w:b w:val="false"/>
          <w:color w:val="000000"/>
          <w:sz w:val="22"/>
        </w:rPr>
        <w:t>Illegality; Requirements of Law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65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2.20</w:t>
      </w:r>
      <w:r>
        <w:rPr>
          <w:color w:val="000000"/>
        </w:rPr>
        <w:t>    </w:t>
      </w:r>
      <w:r>
        <w:rPr>
          <w:rFonts w:ascii="Times New Roman;sans-serif" w:hAnsi="Times New Roman;sans-serif"/>
          <w:b w:val="false"/>
          <w:color w:val="000000"/>
          <w:sz w:val="22"/>
        </w:rPr>
        <w:t>Taxes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67</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2.21</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70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2.22</w:t>
      </w:r>
      <w:r>
        <w:rPr>
          <w:color w:val="000000"/>
        </w:rPr>
        <w:t>    </w:t>
      </w:r>
      <w:r>
        <w:rPr>
          <w:rFonts w:ascii="Times New Roman;sans-serif" w:hAnsi="Times New Roman;sans-serif"/>
          <w:b w:val="false"/>
          <w:color w:val="000000"/>
          <w:sz w:val="22"/>
        </w:rPr>
        <w:t>Change of Lending Office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71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2.23</w:t>
      </w:r>
      <w:r>
        <w:rPr>
          <w:color w:val="000000"/>
        </w:rPr>
        <w:t>    </w:t>
      </w:r>
      <w:r>
        <w:rPr>
          <w:rFonts w:ascii="Times New Roman;sans-serif" w:hAnsi="Times New Roman;sans-serif"/>
          <w:b w:val="false"/>
          <w:color w:val="000000"/>
          <w:sz w:val="22"/>
        </w:rPr>
        <w:t>Substitution of Lenders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71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2.24</w:t>
      </w:r>
      <w:r>
        <w:rPr>
          <w:color w:val="000000"/>
        </w:rPr>
        <w:t>    </w:t>
      </w:r>
      <w:r>
        <w:rPr>
          <w:rFonts w:ascii="Times New Roman;sans-serif" w:hAnsi="Times New Roman;sans-serif"/>
          <w:b w:val="false"/>
          <w:color w:val="000000"/>
          <w:sz w:val="22"/>
        </w:rPr>
        <w:t>Defaulting Lenders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72</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2.25</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73</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68350"/>
                <wp:effectExtent l="0" t="0" r="0" b="0"/>
                <wp:wrapNone/>
                <wp:docPr id="113" name="Frame113"/>
                <a:graphic xmlns:a="http://schemas.openxmlformats.org/drawingml/2006/main">
                  <a:graphicData uri="http://schemas.microsoft.com/office/word/2010/wordprocessingShape">
                    <wps:wsp>
                      <wps:cNvSpPr txBox="1"/>
                      <wps:spPr>
                        <a:xfrm>
                          <a:off x="0" y="0"/>
                          <a:ext cx="6480175" cy="7683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184.9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lineRule="auto" w:line="288" w:before="0" w:after="20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before="0" w:after="0"/>
        <w:jc w:val="both"/>
        <w:rPr/>
      </w:pPr>
      <w:r>
        <w:rPr/>
      </w:r>
    </w:p>
    <w:p>
      <w:pPr>
        <w:pStyle w:val="TextBody"/>
        <w:bidi w:val="0"/>
        <w:spacing w:lineRule="auto" w:line="288" w:before="0" w:after="100"/>
        <w:ind w:left="0" w:right="0" w:hanging="720"/>
        <w:jc w:val="both"/>
        <w:rPr/>
      </w:pPr>
      <w:r>
        <w:rPr>
          <w:rFonts w:ascii="Times New Roman;sans-serif" w:hAnsi="Times New Roman;sans-serif"/>
          <w:b w:val="false"/>
          <w:color w:val="000000"/>
          <w:sz w:val="22"/>
        </w:rPr>
        <w:t>2.26</w:t>
      </w:r>
      <w:r>
        <w:rPr>
          <w:color w:val="000000"/>
        </w:rPr>
        <w:t>    </w:t>
      </w:r>
      <w:r>
        <w:rPr>
          <w:rFonts w:ascii="Times New Roman;sans-serif" w:hAnsi="Times New Roman;sans-serif"/>
          <w:b w:val="false"/>
          <w:color w:val="000000"/>
          <w:sz w:val="22"/>
        </w:rPr>
        <w:t>Notes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73</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2.27</w:t>
      </w:r>
      <w:r>
        <w:rPr>
          <w:color w:val="000000"/>
        </w:rPr>
        <w:t>    </w:t>
      </w:r>
      <w:r>
        <w:rPr>
          <w:rFonts w:ascii="Times New Roman;sans-serif" w:hAnsi="Times New Roman;sans-serif"/>
          <w:b w:val="false"/>
          <w:color w:val="000000"/>
          <w:sz w:val="22"/>
        </w:rPr>
        <w:t>Incremental Facility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73</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2.28</w:t>
      </w:r>
      <w:r>
        <w:rPr>
          <w:color w:val="000000"/>
        </w:rPr>
        <w:t>    </w:t>
      </w:r>
      <w:r>
        <w:rPr>
          <w:rFonts w:ascii="Times New Roman;sans-serif" w:hAnsi="Times New Roman;sans-serif"/>
          <w:b w:val="false"/>
          <w:color w:val="000000"/>
          <w:sz w:val="22"/>
        </w:rPr>
        <w:t>Credit Agreement Refinancing Indebtedness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76</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2.29</w:t>
      </w:r>
      <w:r>
        <w:rPr>
          <w:color w:val="000000"/>
        </w:rPr>
        <w:t>    </w:t>
      </w:r>
      <w:r>
        <w:rPr>
          <w:rFonts w:ascii="Times New Roman;sans-serif" w:hAnsi="Times New Roman;sans-serif"/>
          <w:b w:val="false"/>
          <w:color w:val="000000"/>
          <w:sz w:val="22"/>
        </w:rPr>
        <w:t>Discounted Prepayments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77</w:t>
        </w:r>
      </w:hyperlink>
    </w:p>
    <w:p>
      <w:pPr>
        <w:pStyle w:val="TextBody"/>
        <w:bidi w:val="0"/>
        <w:spacing w:lineRule="auto" w:line="288" w:before="0" w:after="100"/>
        <w:jc w:val="both"/>
        <w:rPr/>
      </w:pPr>
      <w:r>
        <w:rPr>
          <w:rFonts w:ascii="Times New Roman;sans-serif" w:hAnsi="Times New Roman;sans-serif"/>
          <w:b w:val="false"/>
          <w:color w:val="000000"/>
          <w:sz w:val="22"/>
        </w:rPr>
        <w:t>SECTION 3 [RESERVED]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79</w:t>
        </w:r>
      </w:hyperlink>
    </w:p>
    <w:p>
      <w:pPr>
        <w:pStyle w:val="TextBody"/>
        <w:bidi w:val="0"/>
        <w:spacing w:lineRule="auto" w:line="288" w:before="0" w:after="100"/>
        <w:jc w:val="both"/>
        <w:rPr/>
      </w:pPr>
      <w:r>
        <w:rPr>
          <w:rFonts w:ascii="Times New Roman;sans-serif" w:hAnsi="Times New Roman;sans-serif"/>
          <w:b w:val="false"/>
          <w:color w:val="000000"/>
          <w:sz w:val="22"/>
        </w:rPr>
        <w:t>SECTION 4 REPRESENTATIONS AND WARRANTIES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79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4.1</w:t>
      </w:r>
      <w:r>
        <w:rPr>
          <w:color w:val="000000"/>
        </w:rPr>
        <w:t>    </w:t>
      </w:r>
      <w:r>
        <w:rPr>
          <w:rFonts w:ascii="Times New Roman;sans-serif" w:hAnsi="Times New Roman;sans-serif"/>
          <w:b w:val="false"/>
          <w:color w:val="000000"/>
          <w:sz w:val="22"/>
        </w:rPr>
        <w:t>Financial Condition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79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4.2</w:t>
      </w:r>
      <w:r>
        <w:rPr>
          <w:color w:val="000000"/>
        </w:rPr>
        <w:t>    </w:t>
      </w:r>
      <w:r>
        <w:rPr>
          <w:rFonts w:ascii="Times New Roman;sans-serif" w:hAnsi="Times New Roman;sans-serif"/>
          <w:b w:val="false"/>
          <w:color w:val="000000"/>
          <w:sz w:val="22"/>
        </w:rPr>
        <w:t>No Change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4.3</w:t>
      </w:r>
      <w:r>
        <w:rPr>
          <w:color w:val="000000"/>
        </w:rPr>
        <w:t>    </w:t>
      </w:r>
      <w:r>
        <w:rPr>
          <w:rFonts w:ascii="Times New Roman;sans-serif" w:hAnsi="Times New Roman;sans-serif"/>
          <w:b w:val="false"/>
          <w:color w:val="000000"/>
          <w:sz w:val="22"/>
        </w:rPr>
        <w:t>Existence; Compliance with Law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4.4</w:t>
      </w:r>
      <w:r>
        <w:rPr>
          <w:color w:val="000000"/>
        </w:rPr>
        <w:t>    </w:t>
      </w:r>
      <w:r>
        <w:rPr>
          <w:rFonts w:ascii="Times New Roman;sans-serif" w:hAnsi="Times New Roman;sans-serif"/>
          <w:b w:val="false"/>
          <w:color w:val="000000"/>
          <w:sz w:val="22"/>
        </w:rPr>
        <w:t>Power, Authorization; Enforceable Obligations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4.5</w:t>
      </w:r>
      <w:r>
        <w:rPr>
          <w:color w:val="000000"/>
        </w:rPr>
        <w:t>    </w:t>
      </w:r>
      <w:r>
        <w:rPr>
          <w:rFonts w:ascii="Times New Roman;sans-serif" w:hAnsi="Times New Roman;sans-serif"/>
          <w:b w:val="false"/>
          <w:color w:val="000000"/>
          <w:sz w:val="22"/>
        </w:rPr>
        <w:t>No Legal Bar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4.6</w:t>
      </w:r>
      <w:r>
        <w:rPr>
          <w:color w:val="000000"/>
        </w:rPr>
        <w:t>    </w:t>
      </w:r>
      <w:r>
        <w:rPr>
          <w:rFonts w:ascii="Times New Roman;sans-serif" w:hAnsi="Times New Roman;sans-serif"/>
          <w:b w:val="false"/>
          <w:color w:val="000000"/>
          <w:sz w:val="22"/>
        </w:rPr>
        <w:t>Litigation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4.7</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4.8</w:t>
      </w:r>
      <w:r>
        <w:rPr>
          <w:color w:val="000000"/>
        </w:rPr>
        <w:t>    </w:t>
      </w:r>
      <w:r>
        <w:rPr>
          <w:rFonts w:ascii="Times New Roman;sans-serif" w:hAnsi="Times New Roman;sans-serif"/>
          <w:b w:val="false"/>
          <w:color w:val="000000"/>
          <w:sz w:val="22"/>
        </w:rPr>
        <w:t>Ownership of Property; Liens; Investments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4.9</w:t>
      </w:r>
      <w:r>
        <w:rPr>
          <w:color w:val="000000"/>
        </w:rPr>
        <w:t>    </w:t>
      </w:r>
      <w:r>
        <w:rPr>
          <w:rFonts w:ascii="Times New Roman;sans-serif" w:hAnsi="Times New Roman;sans-serif"/>
          <w:b w:val="false"/>
          <w:color w:val="000000"/>
          <w:sz w:val="22"/>
        </w:rPr>
        <w:t>Intellectual Property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4.10</w:t>
      </w:r>
      <w:r>
        <w:rPr>
          <w:color w:val="000000"/>
        </w:rPr>
        <w:t>    </w:t>
      </w:r>
      <w:r>
        <w:rPr>
          <w:rFonts w:ascii="Times New Roman;sans-serif" w:hAnsi="Times New Roman;sans-serif"/>
          <w:b w:val="false"/>
          <w:color w:val="000000"/>
          <w:sz w:val="22"/>
        </w:rPr>
        <w:t>Taxes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4.11</w:t>
      </w:r>
      <w:r>
        <w:rPr>
          <w:color w:val="000000"/>
        </w:rPr>
        <w:t>    </w:t>
      </w:r>
      <w:r>
        <w:rPr>
          <w:rFonts w:ascii="Times New Roman;sans-serif" w:hAnsi="Times New Roman;sans-serif"/>
          <w:b w:val="false"/>
          <w:color w:val="000000"/>
          <w:sz w:val="22"/>
        </w:rPr>
        <w:t>Federal Regulations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4.12</w:t>
      </w:r>
      <w:r>
        <w:rPr>
          <w:color w:val="000000"/>
        </w:rPr>
        <w:t>    </w:t>
      </w:r>
      <w:r>
        <w:rPr>
          <w:rFonts w:ascii="Times New Roman;sans-serif" w:hAnsi="Times New Roman;sans-serif"/>
          <w:b w:val="false"/>
          <w:color w:val="000000"/>
          <w:sz w:val="22"/>
        </w:rPr>
        <w:t>Labor Matters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82</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4.13</w:t>
      </w:r>
      <w:r>
        <w:rPr>
          <w:color w:val="000000"/>
        </w:rPr>
        <w:t>    </w:t>
      </w:r>
      <w:r>
        <w:rPr>
          <w:rFonts w:ascii="Times New Roman;sans-serif" w:hAnsi="Times New Roman;sans-serif"/>
          <w:b w:val="false"/>
          <w:color w:val="000000"/>
          <w:sz w:val="22"/>
        </w:rPr>
        <w:t>ERISA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82</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4.14</w:t>
      </w:r>
      <w:r>
        <w:rPr>
          <w:color w:val="000000"/>
        </w:rPr>
        <w:t>    </w:t>
      </w:r>
      <w:r>
        <w:rPr>
          <w:rFonts w:ascii="Times New Roman;sans-serif" w:hAnsi="Times New Roman;sans-serif"/>
          <w:b w:val="false"/>
          <w:color w:val="000000"/>
          <w:sz w:val="22"/>
        </w:rPr>
        <w:t>Investment Company Act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82</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4.15</w:t>
      </w:r>
      <w:r>
        <w:rPr>
          <w:color w:val="000000"/>
        </w:rPr>
        <w:t>    </w:t>
      </w:r>
      <w:r>
        <w:rPr>
          <w:rFonts w:ascii="Times New Roman;sans-serif" w:hAnsi="Times New Roman;sans-serif"/>
          <w:b w:val="false"/>
          <w:color w:val="000000"/>
          <w:sz w:val="22"/>
        </w:rPr>
        <w:t>Subsidiaries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83</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4.16</w:t>
      </w:r>
      <w:r>
        <w:rPr>
          <w:color w:val="000000"/>
        </w:rPr>
        <w:t>    </w:t>
      </w:r>
      <w:r>
        <w:rPr>
          <w:rFonts w:ascii="Times New Roman;sans-serif" w:hAnsi="Times New Roman;sans-serif"/>
          <w:b w:val="false"/>
          <w:color w:val="000000"/>
          <w:sz w:val="22"/>
        </w:rPr>
        <w:t>Use of Proceeds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83</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4.17</w:t>
      </w:r>
      <w:r>
        <w:rPr>
          <w:color w:val="000000"/>
        </w:rPr>
        <w:t>    </w:t>
      </w:r>
      <w:r>
        <w:rPr>
          <w:rFonts w:ascii="Times New Roman;sans-serif" w:hAnsi="Times New Roman;sans-serif"/>
          <w:b w:val="false"/>
          <w:color w:val="000000"/>
          <w:sz w:val="22"/>
        </w:rPr>
        <w:t>Environmental Matters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83</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4.18</w:t>
      </w:r>
      <w:r>
        <w:rPr>
          <w:color w:val="000000"/>
        </w:rPr>
        <w:t>    </w:t>
      </w:r>
      <w:r>
        <w:rPr>
          <w:rFonts w:ascii="Times New Roman;sans-serif" w:hAnsi="Times New Roman;sans-serif"/>
          <w:b w:val="false"/>
          <w:color w:val="000000"/>
          <w:sz w:val="22"/>
        </w:rPr>
        <w:t>Accuracy of Information, etc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84</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4.19</w:t>
      </w:r>
      <w:r>
        <w:rPr>
          <w:color w:val="000000"/>
        </w:rPr>
        <w:t>    </w:t>
      </w:r>
      <w:r>
        <w:rPr>
          <w:rFonts w:ascii="Times New Roman;sans-serif" w:hAnsi="Times New Roman;sans-serif"/>
          <w:b w:val="false"/>
          <w:color w:val="000000"/>
          <w:sz w:val="22"/>
        </w:rPr>
        <w:t>Security Documents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4.20</w:t>
      </w:r>
      <w:r>
        <w:rPr>
          <w:color w:val="000000"/>
        </w:rPr>
        <w:t>    </w:t>
      </w:r>
      <w:r>
        <w:rPr>
          <w:rFonts w:ascii="Times New Roman;sans-serif" w:hAnsi="Times New Roman;sans-serif"/>
          <w:b w:val="false"/>
          <w:color w:val="000000"/>
          <w:sz w:val="22"/>
        </w:rPr>
        <w:t>Solvency; Voidable Transaction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4.21</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4.22</w:t>
      </w:r>
      <w:r>
        <w:rPr>
          <w:color w:val="000000"/>
        </w:rPr>
        <w:t>    </w:t>
      </w:r>
      <w:r>
        <w:rPr>
          <w:rFonts w:ascii="Times New Roman;sans-serif" w:hAnsi="Times New Roman;sans-serif"/>
          <w:b w:val="false"/>
          <w:color w:val="000000"/>
          <w:sz w:val="22"/>
        </w:rPr>
        <w:t>Compliance with Health Care Laws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86</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4.23</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4.24</w:t>
      </w:r>
      <w:r>
        <w:rPr>
          <w:color w:val="000000"/>
        </w:rPr>
        <w:t>    </w:t>
      </w:r>
      <w:r>
        <w:rPr>
          <w:rFonts w:ascii="Times New Roman;sans-serif" w:hAnsi="Times New Roman;sans-serif"/>
          <w:b w:val="false"/>
          <w:color w:val="000000"/>
          <w:sz w:val="22"/>
        </w:rPr>
        <w:t>Insurance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4.25</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4.26</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4.27</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89</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68350"/>
                <wp:effectExtent l="0" t="0" r="0" b="0"/>
                <wp:wrapNone/>
                <wp:docPr id="114" name="Frame114"/>
                <a:graphic xmlns:a="http://schemas.openxmlformats.org/drawingml/2006/main">
                  <a:graphicData uri="http://schemas.microsoft.com/office/word/2010/wordprocessingShape">
                    <wps:wsp>
                      <wps:cNvSpPr txBox="1"/>
                      <wps:spPr>
                        <a:xfrm>
                          <a:off x="0" y="0"/>
                          <a:ext cx="6480175" cy="76835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184.9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lineRule="auto" w:line="288" w:before="0" w:after="20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before="0" w:after="0"/>
        <w:jc w:val="both"/>
        <w:rPr/>
      </w:pPr>
      <w:r>
        <w:rPr/>
      </w:r>
    </w:p>
    <w:p>
      <w:pPr>
        <w:pStyle w:val="TextBody"/>
        <w:bidi w:val="0"/>
        <w:spacing w:lineRule="auto" w:line="288" w:before="0" w:after="100"/>
        <w:ind w:left="0" w:right="0" w:hanging="720"/>
        <w:jc w:val="both"/>
        <w:rPr/>
      </w:pPr>
      <w:r>
        <w:rPr>
          <w:rFonts w:ascii="Times New Roman;sans-serif" w:hAnsi="Times New Roman;sans-serif"/>
          <w:b w:val="false"/>
          <w:color w:val="000000"/>
          <w:sz w:val="22"/>
        </w:rPr>
        <w:t>4.28</w:t>
      </w:r>
      <w:r>
        <w:rPr>
          <w:color w:val="000000"/>
        </w:rPr>
        <w:t>    </w:t>
      </w:r>
      <w:r>
        <w:rPr>
          <w:rFonts w:ascii="Times New Roman;sans-serif" w:hAnsi="Times New Roman;sans-serif"/>
          <w:b w:val="false"/>
          <w:color w:val="000000"/>
          <w:sz w:val="22"/>
        </w:rPr>
        <w:t>Sanctions; Anti-Corruption Laws; Anti-Money Laundering Laws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89</w:t>
        </w:r>
      </w:hyperlink>
    </w:p>
    <w:p>
      <w:pPr>
        <w:pStyle w:val="TextBody"/>
        <w:bidi w:val="0"/>
        <w:spacing w:lineRule="auto" w:line="288" w:before="0" w:after="100"/>
        <w:jc w:val="both"/>
        <w:rPr/>
      </w:pPr>
      <w:r>
        <w:rPr>
          <w:rFonts w:ascii="Times New Roman;sans-serif" w:hAnsi="Times New Roman;sans-serif"/>
          <w:b w:val="false"/>
          <w:color w:val="000000"/>
          <w:sz w:val="22"/>
        </w:rPr>
        <w:t>SECTION 5 CONDITIONS PRECEDENT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90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5.1</w:t>
      </w:r>
      <w:r>
        <w:rPr>
          <w:color w:val="000000"/>
        </w:rPr>
        <w:t>    </w:t>
      </w:r>
      <w:r>
        <w:rPr>
          <w:rFonts w:ascii="Times New Roman;sans-serif" w:hAnsi="Times New Roman;sans-serif"/>
          <w:b w:val="false"/>
          <w:color w:val="000000"/>
          <w:sz w:val="22"/>
        </w:rPr>
        <w:t>Conditions to Initial Extension of Credit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90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5.2</w:t>
      </w:r>
      <w:r>
        <w:rPr>
          <w:color w:val="000000"/>
        </w:rPr>
        <w:t>    </w:t>
      </w:r>
      <w:r>
        <w:rPr>
          <w:rFonts w:ascii="Times New Roman;sans-serif" w:hAnsi="Times New Roman;sans-serif"/>
          <w:b w:val="false"/>
          <w:color w:val="000000"/>
          <w:sz w:val="22"/>
        </w:rPr>
        <w:t>Conditions to Each Extension of Credit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93</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5.3</w:t>
      </w:r>
      <w:r>
        <w:rPr>
          <w:color w:val="000000"/>
        </w:rPr>
        <w:t>    </w:t>
      </w:r>
      <w:r>
        <w:rPr>
          <w:rFonts w:ascii="Times New Roman;sans-serif" w:hAnsi="Times New Roman;sans-serif"/>
          <w:b w:val="false"/>
          <w:color w:val="000000"/>
          <w:sz w:val="22"/>
        </w:rPr>
        <w:t>Post-Closing Conditions Subsequent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94</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5.4</w:t>
      </w:r>
      <w:r>
        <w:rPr>
          <w:color w:val="000000"/>
        </w:rPr>
        <w:t>    </w:t>
      </w:r>
      <w:r>
        <w:rPr>
          <w:rFonts w:ascii="Times New Roman;sans-serif" w:hAnsi="Times New Roman;sans-serif"/>
          <w:b w:val="false"/>
          <w:color w:val="000000"/>
          <w:sz w:val="22"/>
        </w:rPr>
        <w:t>Conditions to Each Delayed Draw Loans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94</w:t>
        </w:r>
      </w:hyperlink>
    </w:p>
    <w:p>
      <w:pPr>
        <w:pStyle w:val="TextBody"/>
        <w:bidi w:val="0"/>
        <w:spacing w:lineRule="auto" w:line="288" w:before="0" w:after="100"/>
        <w:jc w:val="both"/>
        <w:rPr/>
      </w:pPr>
      <w:r>
        <w:rPr>
          <w:rFonts w:ascii="Times New Roman;sans-serif" w:hAnsi="Times New Roman;sans-serif"/>
          <w:b w:val="false"/>
          <w:color w:val="000000"/>
          <w:sz w:val="22"/>
        </w:rPr>
        <w:t>SECTION 6 AFFIRMATIVE COVENANTS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94</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6.1</w:t>
      </w:r>
      <w:r>
        <w:rPr>
          <w:color w:val="000000"/>
        </w:rPr>
        <w:t>    </w:t>
      </w:r>
      <w:r>
        <w:rPr>
          <w:rFonts w:ascii="Times New Roman;sans-serif" w:hAnsi="Times New Roman;sans-serif"/>
          <w:b w:val="false"/>
          <w:color w:val="000000"/>
          <w:sz w:val="22"/>
        </w:rPr>
        <w:t>Financial Statements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95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6.2</w:t>
      </w:r>
      <w:r>
        <w:rPr>
          <w:color w:val="000000"/>
        </w:rPr>
        <w:t>    </w:t>
      </w:r>
      <w:r>
        <w:rPr>
          <w:rFonts w:ascii="Times New Roman;sans-serif" w:hAnsi="Times New Roman;sans-serif"/>
          <w:b w:val="false"/>
          <w:color w:val="000000"/>
          <w:sz w:val="22"/>
        </w:rPr>
        <w:t>Certificates; Reports; Other Information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96</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6.3</w:t>
      </w:r>
      <w:r>
        <w:rPr>
          <w:color w:val="000000"/>
        </w:rPr>
        <w:t>    </w:t>
      </w:r>
      <w:r>
        <w:rPr>
          <w:rFonts w:ascii="Times New Roman;sans-serif" w:hAnsi="Times New Roman;sans-serif"/>
          <w:b w:val="false"/>
          <w:color w:val="000000"/>
          <w:sz w:val="22"/>
        </w:rPr>
        <w:t>Payment of Taxes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97</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6.4</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97</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6.5</w:t>
      </w:r>
      <w:r>
        <w:rPr>
          <w:color w:val="000000"/>
        </w:rPr>
        <w:t>    </w:t>
      </w:r>
      <w:r>
        <w:rPr>
          <w:rFonts w:ascii="Times New Roman;sans-serif" w:hAnsi="Times New Roman;sans-serif"/>
          <w:b w:val="false"/>
          <w:color w:val="000000"/>
          <w:sz w:val="22"/>
        </w:rPr>
        <w:t>Maintenance of Existence; Compliance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97</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6.6</w:t>
      </w:r>
      <w:r>
        <w:rPr>
          <w:color w:val="000000"/>
        </w:rPr>
        <w:t>    </w:t>
      </w:r>
      <w:r>
        <w:rPr>
          <w:rFonts w:ascii="Times New Roman;sans-serif" w:hAnsi="Times New Roman;sans-serif"/>
          <w:b w:val="false"/>
          <w:color w:val="000000"/>
          <w:sz w:val="22"/>
        </w:rPr>
        <w:t>Maintenance of Property; Insurance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98</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6.7</w:t>
      </w:r>
      <w:r>
        <w:rPr>
          <w:color w:val="000000"/>
        </w:rPr>
        <w:t>    </w:t>
      </w:r>
      <w:r>
        <w:rPr>
          <w:rFonts w:ascii="Times New Roman;sans-serif" w:hAnsi="Times New Roman;sans-serif"/>
          <w:b w:val="false"/>
          <w:color w:val="000000"/>
          <w:sz w:val="22"/>
        </w:rPr>
        <w:t>Inspection of Property; Books and Records; Discussions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99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6.8</w:t>
      </w:r>
      <w:r>
        <w:rPr>
          <w:color w:val="000000"/>
        </w:rPr>
        <w:t>    </w:t>
      </w:r>
      <w:r>
        <w:rPr>
          <w:rFonts w:ascii="Times New Roman;sans-serif" w:hAnsi="Times New Roman;sans-serif"/>
          <w:b w:val="false"/>
          <w:color w:val="000000"/>
          <w:sz w:val="22"/>
        </w:rPr>
        <w:t>Notices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99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6.9</w:t>
      </w:r>
      <w:r>
        <w:rPr>
          <w:color w:val="000000"/>
        </w:rPr>
        <w:t>    </w:t>
      </w:r>
      <w:r>
        <w:rPr>
          <w:rFonts w:ascii="Times New Roman;sans-serif" w:hAnsi="Times New Roman;sans-serif"/>
          <w:b w:val="false"/>
          <w:color w:val="000000"/>
          <w:sz w:val="22"/>
        </w:rPr>
        <w:t>Environmental Laws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101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6.10</w:t>
      </w:r>
      <w:r>
        <w:rPr>
          <w:color w:val="000000"/>
        </w:rPr>
        <w:t>    </w:t>
      </w:r>
      <w:r>
        <w:rPr>
          <w:rFonts w:ascii="Times New Roman;sans-serif" w:hAnsi="Times New Roman;sans-serif"/>
          <w:b w:val="false"/>
          <w:color w:val="000000"/>
          <w:sz w:val="22"/>
        </w:rPr>
        <w:t>Quarterly Lender Calls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101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6.11</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101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6.12</w:t>
      </w:r>
      <w:r>
        <w:rPr>
          <w:color w:val="000000"/>
        </w:rPr>
        <w:t>    </w:t>
      </w:r>
      <w:r>
        <w:rPr>
          <w:rFonts w:ascii="Times New Roman;sans-serif" w:hAnsi="Times New Roman;sans-serif"/>
          <w:b w:val="false"/>
          <w:color w:val="000000"/>
          <w:sz w:val="22"/>
        </w:rPr>
        <w:t>Additional Guarantors; Collateral, Etc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101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6.13</w:t>
      </w:r>
      <w:r>
        <w:rPr>
          <w:color w:val="000000"/>
        </w:rPr>
        <w:t>    </w:t>
      </w:r>
      <w:r>
        <w:rPr>
          <w:rFonts w:ascii="Times New Roman;sans-serif" w:hAnsi="Times New Roman;sans-serif"/>
          <w:b w:val="false"/>
          <w:color w:val="000000"/>
          <w:sz w:val="22"/>
        </w:rPr>
        <w:t>Use of Proceeds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103</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6.14</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103</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6.15</w:t>
      </w:r>
      <w:r>
        <w:rPr>
          <w:color w:val="000000"/>
        </w:rPr>
        <w:t>    </w:t>
      </w:r>
      <w:r>
        <w:rPr>
          <w:rFonts w:ascii="Times New Roman;sans-serif" w:hAnsi="Times New Roman;sans-serif"/>
          <w:b w:val="false"/>
          <w:color w:val="000000"/>
          <w:sz w:val="22"/>
        </w:rPr>
        <w:t>Anti-Corruption Laws; Anti-Money Laundering Laws; Sanctions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104</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6.16</w:t>
      </w:r>
      <w:r>
        <w:rPr>
          <w:color w:val="000000"/>
        </w:rPr>
        <w:t>    </w:t>
      </w:r>
      <w:r>
        <w:rPr>
          <w:rFonts w:ascii="Times New Roman;sans-serif" w:hAnsi="Times New Roman;sans-serif"/>
          <w:b w:val="false"/>
          <w:color w:val="000000"/>
          <w:sz w:val="22"/>
        </w:rPr>
        <w:t>Further Assurances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104</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6.17</w:t>
      </w:r>
      <w:r>
        <w:rPr>
          <w:color w:val="000000"/>
        </w:rPr>
        <w:t>    </w:t>
      </w:r>
      <w:r>
        <w:rPr>
          <w:rFonts w:ascii="Times New Roman;sans-serif" w:hAnsi="Times New Roman;sans-serif"/>
          <w:b w:val="false"/>
          <w:color w:val="000000"/>
          <w:sz w:val="22"/>
        </w:rPr>
        <w:t>Cash Management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104</w:t>
        </w:r>
      </w:hyperlink>
    </w:p>
    <w:p>
      <w:pPr>
        <w:pStyle w:val="TextBody"/>
        <w:bidi w:val="0"/>
        <w:spacing w:lineRule="auto" w:line="288" w:before="0" w:after="100"/>
        <w:jc w:val="both"/>
        <w:rPr/>
      </w:pPr>
      <w:r>
        <w:rPr>
          <w:rFonts w:ascii="Times New Roman;sans-serif" w:hAnsi="Times New Roman;sans-serif"/>
          <w:b w:val="false"/>
          <w:color w:val="000000"/>
          <w:sz w:val="22"/>
        </w:rPr>
        <w:t>SECTION 7 NEGATIVE COVENANTS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104</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7.1</w:t>
      </w:r>
      <w:r>
        <w:rPr>
          <w:color w:val="000000"/>
        </w:rPr>
        <w:t>    </w:t>
      </w:r>
      <w:r>
        <w:rPr>
          <w:rFonts w:ascii="Times New Roman;sans-serif" w:hAnsi="Times New Roman;sans-serif"/>
          <w:b w:val="false"/>
          <w:color w:val="000000"/>
          <w:sz w:val="22"/>
        </w:rPr>
        <w:t>Financial Condition Covenants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104</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7.2</w:t>
      </w:r>
      <w:r>
        <w:rPr>
          <w:color w:val="000000"/>
        </w:rPr>
        <w:t>    </w:t>
      </w:r>
      <w:r>
        <w:rPr>
          <w:rFonts w:ascii="Times New Roman;sans-serif" w:hAnsi="Times New Roman;sans-serif"/>
          <w:b w:val="false"/>
          <w:color w:val="000000"/>
          <w:sz w:val="22"/>
        </w:rPr>
        <w:t>Indebtedness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106</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7.3</w:t>
      </w:r>
      <w:r>
        <w:rPr>
          <w:color w:val="000000"/>
        </w:rPr>
        <w:t>    </w:t>
      </w:r>
      <w:r>
        <w:rPr>
          <w:rFonts w:ascii="Times New Roman;sans-serif" w:hAnsi="Times New Roman;sans-serif"/>
          <w:b w:val="false"/>
          <w:color w:val="000000"/>
          <w:sz w:val="22"/>
        </w:rPr>
        <w:t>Liens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108</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7.4</w:t>
      </w:r>
      <w:r>
        <w:rPr>
          <w:color w:val="000000"/>
        </w:rPr>
        <w:t>    </w:t>
      </w:r>
      <w:r>
        <w:rPr>
          <w:rFonts w:ascii="Times New Roman;sans-serif" w:hAnsi="Times New Roman;sans-serif"/>
          <w:b w:val="false"/>
          <w:color w:val="000000"/>
          <w:sz w:val="22"/>
        </w:rPr>
        <w:t>Fundamental Changes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111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7.5</w:t>
      </w:r>
      <w:r>
        <w:rPr>
          <w:color w:val="000000"/>
        </w:rPr>
        <w:t>    </w:t>
      </w:r>
      <w:r>
        <w:rPr>
          <w:rFonts w:ascii="Times New Roman;sans-serif" w:hAnsi="Times New Roman;sans-serif"/>
          <w:b w:val="false"/>
          <w:color w:val="000000"/>
          <w:sz w:val="22"/>
        </w:rPr>
        <w:t>Disposition of Property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111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7.6</w:t>
      </w:r>
      <w:r>
        <w:rPr>
          <w:color w:val="000000"/>
        </w:rPr>
        <w:t>    </w:t>
      </w:r>
      <w:r>
        <w:rPr>
          <w:rFonts w:ascii="Times New Roman;sans-serif" w:hAnsi="Times New Roman;sans-serif"/>
          <w:b w:val="false"/>
          <w:color w:val="000000"/>
          <w:sz w:val="22"/>
        </w:rPr>
        <w:t>Restricted Payments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113</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7.7</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115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7.8</w:t>
      </w:r>
      <w:r>
        <w:rPr>
          <w:color w:val="000000"/>
        </w:rPr>
        <w:t>    </w:t>
      </w:r>
      <w:r>
        <w:rPr>
          <w:rFonts w:ascii="Times New Roman;sans-serif" w:hAnsi="Times New Roman;sans-serif"/>
          <w:b w:val="false"/>
          <w:color w:val="000000"/>
          <w:sz w:val="22"/>
        </w:rPr>
        <w:t>Investments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115</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68350"/>
                <wp:effectExtent l="0" t="0" r="0" b="0"/>
                <wp:wrapNone/>
                <wp:docPr id="115" name="Frame115"/>
                <a:graphic xmlns:a="http://schemas.openxmlformats.org/drawingml/2006/main">
                  <a:graphicData uri="http://schemas.microsoft.com/office/word/2010/wordprocessingShape">
                    <wps:wsp>
                      <wps:cNvSpPr txBox="1"/>
                      <wps:spPr>
                        <a:xfrm>
                          <a:off x="0" y="0"/>
                          <a:ext cx="6480175" cy="768350"/>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184.95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lineRule="auto" w:line="288" w:before="0" w:after="20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before="0" w:after="0"/>
        <w:jc w:val="both"/>
        <w:rPr/>
      </w:pPr>
      <w:r>
        <w:rPr/>
      </w:r>
    </w:p>
    <w:p>
      <w:pPr>
        <w:pStyle w:val="TextBody"/>
        <w:bidi w:val="0"/>
        <w:spacing w:lineRule="auto" w:line="288" w:before="0" w:after="100"/>
        <w:ind w:left="0" w:right="0" w:hanging="720"/>
        <w:jc w:val="both"/>
        <w:rPr/>
      </w:pPr>
      <w:r>
        <w:rPr>
          <w:rFonts w:ascii="Times New Roman;sans-serif" w:hAnsi="Times New Roman;sans-serif"/>
          <w:b w:val="false"/>
          <w:color w:val="000000"/>
          <w:sz w:val="22"/>
        </w:rPr>
        <w:t>7.9</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119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7.10</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119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7.11</w:t>
      </w:r>
      <w:r>
        <w:rPr>
          <w:color w:val="000000"/>
        </w:rPr>
        <w:t>    </w:t>
      </w:r>
      <w:r>
        <w:rPr>
          <w:rFonts w:ascii="Times New Roman;sans-serif" w:hAnsi="Times New Roman;sans-serif"/>
          <w:b w:val="false"/>
          <w:color w:val="000000"/>
          <w:sz w:val="22"/>
        </w:rPr>
        <w:t>Transactions with Affiliates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119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7.12</w:t>
      </w:r>
      <w:r>
        <w:rPr>
          <w:color w:val="000000"/>
        </w:rPr>
        <w:t>    </w:t>
      </w:r>
      <w:r>
        <w:rPr>
          <w:rFonts w:ascii="Times New Roman;sans-serif" w:hAnsi="Times New Roman;sans-serif"/>
          <w:b w:val="false"/>
          <w:color w:val="000000"/>
          <w:sz w:val="22"/>
        </w:rPr>
        <w:t>Sale Leaseback Transactions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119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7.13</w:t>
      </w:r>
      <w:r>
        <w:rPr>
          <w:color w:val="000000"/>
        </w:rPr>
        <w:t>    </w:t>
      </w:r>
      <w:r>
        <w:rPr>
          <w:rFonts w:ascii="Times New Roman;sans-serif" w:hAnsi="Times New Roman;sans-serif"/>
          <w:b w:val="false"/>
          <w:color w:val="000000"/>
          <w:sz w:val="22"/>
        </w:rPr>
        <w:t>Swap Agreements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119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7.14</w:t>
      </w:r>
      <w:r>
        <w:rPr>
          <w:color w:val="000000"/>
        </w:rPr>
        <w:t>    </w:t>
      </w:r>
      <w:r>
        <w:rPr>
          <w:rFonts w:ascii="Times New Roman;sans-serif" w:hAnsi="Times New Roman;sans-serif"/>
          <w:b w:val="false"/>
          <w:color w:val="000000"/>
          <w:sz w:val="22"/>
        </w:rPr>
        <w:t>Accounting Changes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119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7.15</w:t>
      </w:r>
      <w:r>
        <w:rPr>
          <w:color w:val="000000"/>
        </w:rPr>
        <w:t>    </w:t>
      </w:r>
      <w:r>
        <w:rPr>
          <w:rFonts w:ascii="Times New Roman;sans-serif" w:hAnsi="Times New Roman;sans-serif"/>
          <w:b w:val="false"/>
          <w:color w:val="000000"/>
          <w:sz w:val="22"/>
        </w:rPr>
        <w:t>Negative Pledge Clauses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119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7.16</w:t>
      </w:r>
      <w:r>
        <w:rPr>
          <w:color w:val="000000"/>
        </w:rPr>
        <w:t>    </w:t>
      </w:r>
      <w:r>
        <w:rPr>
          <w:rFonts w:ascii="Times New Roman;sans-serif" w:hAnsi="Times New Roman;sans-serif"/>
          <w:b w:val="false"/>
          <w:color w:val="000000"/>
          <w:sz w:val="22"/>
        </w:rPr>
        <w:t>Clauses Restricting Subsidiary Distributions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7.17</w:t>
      </w:r>
      <w:r>
        <w:rPr>
          <w:color w:val="000000"/>
        </w:rPr>
        <w:t>    </w:t>
      </w:r>
      <w:r>
        <w:rPr>
          <w:rFonts w:ascii="Times New Roman;sans-serif" w:hAnsi="Times New Roman;sans-serif"/>
          <w:b w:val="false"/>
          <w:color w:val="000000"/>
          <w:sz w:val="22"/>
        </w:rPr>
        <w:t>Lines of Business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7.18</w:t>
      </w:r>
      <w:r>
        <w:rPr>
          <w:color w:val="000000"/>
        </w:rPr>
        <w:t>    </w:t>
      </w:r>
      <w:r>
        <w:rPr>
          <w:rFonts w:ascii="Times New Roman;sans-serif" w:hAnsi="Times New Roman;sans-serif"/>
          <w:b w:val="false"/>
          <w:color w:val="000000"/>
          <w:sz w:val="22"/>
        </w:rPr>
        <w:t>Amendments to Organizational Agreements and Junior Debt Documents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7.19</w:t>
      </w:r>
      <w:r>
        <w:rPr>
          <w:color w:val="000000"/>
        </w:rPr>
        <w:t>    </w:t>
      </w:r>
      <w:r>
        <w:rPr>
          <w:rFonts w:ascii="Times New Roman;sans-serif" w:hAnsi="Times New Roman;sans-serif"/>
          <w:b w:val="false"/>
          <w:color w:val="000000"/>
          <w:sz w:val="22"/>
        </w:rPr>
        <w:t>Use of Proceeds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7.20</w:t>
      </w:r>
      <w:r>
        <w:rPr>
          <w:color w:val="000000"/>
        </w:rPr>
        <w:t>    </w:t>
      </w:r>
      <w:r>
        <w:rPr>
          <w:rFonts w:ascii="Times New Roman;sans-serif" w:hAnsi="Times New Roman;sans-serif"/>
          <w:b w:val="false"/>
          <w:color w:val="000000"/>
          <w:sz w:val="22"/>
        </w:rPr>
        <w:t>Anti-Corruption Laws; Anti-Money Laundering Laws; Sanctions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121</w:t>
        </w:r>
      </w:hyperlink>
    </w:p>
    <w:p>
      <w:pPr>
        <w:pStyle w:val="TextBody"/>
        <w:bidi w:val="0"/>
        <w:spacing w:lineRule="auto" w:line="288" w:before="0" w:after="100"/>
        <w:jc w:val="both"/>
        <w:rPr/>
      </w:pPr>
      <w:r>
        <w:rPr>
          <w:rFonts w:ascii="Times New Roman;sans-serif" w:hAnsi="Times New Roman;sans-serif"/>
          <w:b w:val="false"/>
          <w:color w:val="000000"/>
          <w:sz w:val="22"/>
        </w:rPr>
        <w:t>SECTION 8 EVENTS OF DEFAULT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8.1</w:t>
      </w:r>
      <w:r>
        <w:rPr>
          <w:color w:val="000000"/>
        </w:rPr>
        <w:t>    </w:t>
      </w:r>
      <w:r>
        <w:rPr>
          <w:rFonts w:ascii="Times New Roman;sans-serif" w:hAnsi="Times New Roman;sans-serif"/>
          <w:b w:val="false"/>
          <w:color w:val="000000"/>
          <w:sz w:val="22"/>
        </w:rPr>
        <w:t>Events of Default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8.2</w:t>
      </w:r>
      <w:r>
        <w:rPr>
          <w:color w:val="000000"/>
        </w:rPr>
        <w:t>    </w:t>
      </w:r>
      <w:r>
        <w:rPr>
          <w:rFonts w:ascii="Times New Roman;sans-serif" w:hAnsi="Times New Roman;sans-serif"/>
          <w:b w:val="false"/>
          <w:color w:val="000000"/>
          <w:sz w:val="22"/>
        </w:rPr>
        <w:t>Remedies Upon Event of Default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123</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8.3</w:t>
      </w:r>
      <w:r>
        <w:rPr>
          <w:color w:val="000000"/>
        </w:rPr>
        <w:t>    </w:t>
      </w:r>
      <w:r>
        <w:rPr>
          <w:rFonts w:ascii="Times New Roman;sans-serif" w:hAnsi="Times New Roman;sans-serif"/>
          <w:b w:val="false"/>
          <w:color w:val="000000"/>
          <w:sz w:val="22"/>
        </w:rPr>
        <w:t>Application of Funds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124</w:t>
        </w:r>
      </w:hyperlink>
    </w:p>
    <w:p>
      <w:pPr>
        <w:pStyle w:val="TextBody"/>
        <w:bidi w:val="0"/>
        <w:spacing w:lineRule="auto" w:line="288" w:before="0" w:after="100"/>
        <w:jc w:val="both"/>
        <w:rPr/>
      </w:pPr>
      <w:r>
        <w:rPr>
          <w:rFonts w:ascii="Times New Roman;sans-serif" w:hAnsi="Times New Roman;sans-serif"/>
          <w:b w:val="false"/>
          <w:color w:val="000000"/>
          <w:sz w:val="22"/>
        </w:rPr>
        <w:t>SECTION 9 THE ADMINISTRATIVE AGENT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124</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9.1</w:t>
      </w:r>
      <w:r>
        <w:rPr>
          <w:color w:val="000000"/>
        </w:rPr>
        <w:t>    </w:t>
      </w:r>
      <w:r>
        <w:rPr>
          <w:rFonts w:ascii="Times New Roman;sans-serif" w:hAnsi="Times New Roman;sans-serif"/>
          <w:b w:val="false"/>
          <w:color w:val="000000"/>
          <w:sz w:val="22"/>
        </w:rPr>
        <w:t>Appointment and Authority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124</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9.2</w:t>
      </w:r>
      <w:r>
        <w:rPr>
          <w:color w:val="000000"/>
        </w:rPr>
        <w:t>    </w:t>
      </w:r>
      <w:r>
        <w:rPr>
          <w:rFonts w:ascii="Times New Roman;sans-serif" w:hAnsi="Times New Roman;sans-serif"/>
          <w:b w:val="false"/>
          <w:color w:val="000000"/>
          <w:sz w:val="22"/>
        </w:rPr>
        <w:t>Delegation of Duties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9.3</w:t>
      </w:r>
      <w:r>
        <w:rPr>
          <w:color w:val="000000"/>
        </w:rPr>
        <w:t>    </w:t>
      </w:r>
      <w:r>
        <w:rPr>
          <w:rFonts w:ascii="Times New Roman;sans-serif" w:hAnsi="Times New Roman;sans-serif"/>
          <w:b w:val="false"/>
          <w:color w:val="000000"/>
          <w:sz w:val="22"/>
        </w:rPr>
        <w:t>Exculpatory Provisions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9.4</w:t>
      </w:r>
      <w:r>
        <w:rPr>
          <w:color w:val="000000"/>
        </w:rPr>
        <w:t>    </w:t>
      </w:r>
      <w:r>
        <w:rPr>
          <w:rFonts w:ascii="Times New Roman;sans-serif" w:hAnsi="Times New Roman;sans-serif"/>
          <w:b w:val="false"/>
          <w:color w:val="000000"/>
          <w:sz w:val="22"/>
        </w:rPr>
        <w:t>Reliance by Administrative Agent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126</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9.5</w:t>
      </w:r>
      <w:r>
        <w:rPr>
          <w:color w:val="000000"/>
        </w:rPr>
        <w:t>    </w:t>
      </w:r>
      <w:r>
        <w:rPr>
          <w:rFonts w:ascii="Times New Roman;sans-serif" w:hAnsi="Times New Roman;sans-serif"/>
          <w:b w:val="false"/>
          <w:color w:val="000000"/>
          <w:sz w:val="22"/>
        </w:rPr>
        <w:t>Notice of Default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127</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9.6</w:t>
      </w:r>
      <w:r>
        <w:rPr>
          <w:color w:val="000000"/>
        </w:rPr>
        <w:t>    </w:t>
      </w:r>
      <w:r>
        <w:rPr>
          <w:rFonts w:ascii="Times New Roman;sans-serif" w:hAnsi="Times New Roman;sans-serif"/>
          <w:b w:val="false"/>
          <w:color w:val="000000"/>
          <w:sz w:val="22"/>
        </w:rPr>
        <w:t>Non-Reliance on Administrative Agent and Other Lenders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127</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9.7</w:t>
      </w:r>
      <w:r>
        <w:rPr>
          <w:color w:val="000000"/>
        </w:rPr>
        <w:t>    </w:t>
      </w:r>
      <w:r>
        <w:rPr>
          <w:rFonts w:ascii="Times New Roman;sans-serif" w:hAnsi="Times New Roman;sans-serif"/>
          <w:b w:val="false"/>
          <w:color w:val="000000"/>
          <w:sz w:val="22"/>
        </w:rPr>
        <w:t>Indemnification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127</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9.8</w:t>
      </w:r>
      <w:r>
        <w:rPr>
          <w:color w:val="000000"/>
        </w:rPr>
        <w:t>    </w:t>
      </w:r>
      <w:r>
        <w:rPr>
          <w:rFonts w:ascii="Times New Roman;sans-serif" w:hAnsi="Times New Roman;sans-serif"/>
          <w:b w:val="false"/>
          <w:color w:val="000000"/>
          <w:sz w:val="22"/>
        </w:rPr>
        <w:t>Agent in Its Individual Capacity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128</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9.9</w:t>
      </w:r>
      <w:r>
        <w:rPr>
          <w:color w:val="000000"/>
        </w:rPr>
        <w:t>    </w:t>
      </w:r>
      <w:r>
        <w:rPr>
          <w:rFonts w:ascii="Times New Roman;sans-serif" w:hAnsi="Times New Roman;sans-serif"/>
          <w:b w:val="false"/>
          <w:color w:val="000000"/>
          <w:sz w:val="22"/>
        </w:rPr>
        <w:t>Successor Administrative Agent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128</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9.10</w:t>
      </w:r>
      <w:r>
        <w:rPr>
          <w:color w:val="000000"/>
        </w:rPr>
        <w:t>    </w:t>
      </w:r>
      <w:r>
        <w:rPr>
          <w:rFonts w:ascii="Times New Roman;sans-serif" w:hAnsi="Times New Roman;sans-serif"/>
          <w:b w:val="false"/>
          <w:color w:val="000000"/>
          <w:sz w:val="22"/>
        </w:rPr>
        <w:t>Collateral and Guaranty Matters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129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9.11</w:t>
      </w:r>
      <w:r>
        <w:rPr>
          <w:color w:val="000000"/>
        </w:rPr>
        <w:t>    </w:t>
      </w:r>
      <w:r>
        <w:rPr>
          <w:rFonts w:ascii="Times New Roman;sans-serif" w:hAnsi="Times New Roman;sans-serif"/>
          <w:b w:val="false"/>
          <w:color w:val="000000"/>
          <w:sz w:val="22"/>
        </w:rPr>
        <w:t>Administrative Agent May File Proofs of Claim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131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9.12</w:t>
      </w:r>
      <w:r>
        <w:rPr>
          <w:color w:val="000000"/>
        </w:rPr>
        <w:t>    </w:t>
      </w:r>
      <w:r>
        <w:rPr>
          <w:rFonts w:ascii="Times New Roman;sans-serif" w:hAnsi="Times New Roman;sans-serif"/>
          <w:b w:val="false"/>
          <w:color w:val="000000"/>
          <w:sz w:val="22"/>
        </w:rPr>
        <w:t>No Other Duties, etc.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131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9.13</w:t>
      </w:r>
      <w:r>
        <w:rPr>
          <w:color w:val="000000"/>
        </w:rPr>
        <w:t>    </w:t>
      </w:r>
      <w:r>
        <w:rPr>
          <w:rFonts w:ascii="Times New Roman;sans-serif" w:hAnsi="Times New Roman;sans-serif"/>
          <w:b w:val="false"/>
          <w:color w:val="000000"/>
          <w:sz w:val="22"/>
        </w:rPr>
        <w:t>[Reserved]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131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9.14</w:t>
      </w:r>
      <w:r>
        <w:rPr>
          <w:color w:val="000000"/>
        </w:rPr>
        <w:t>    </w:t>
      </w:r>
      <w:r>
        <w:rPr>
          <w:rFonts w:ascii="Times New Roman;sans-serif" w:hAnsi="Times New Roman;sans-serif"/>
          <w:b w:val="false"/>
          <w:color w:val="000000"/>
          <w:sz w:val="22"/>
        </w:rPr>
        <w:t>Survival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131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9.15</w:t>
      </w:r>
      <w:r>
        <w:rPr>
          <w:color w:val="000000"/>
        </w:rPr>
        <w:t>    </w:t>
      </w:r>
      <w:r>
        <w:rPr>
          <w:rFonts w:ascii="Times New Roman;sans-serif" w:hAnsi="Times New Roman;sans-serif"/>
          <w:b w:val="false"/>
          <w:color w:val="000000"/>
          <w:sz w:val="22"/>
        </w:rPr>
        <w:t>Certain ERISA Matters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131</w:t>
        </w:r>
      </w:hyperlink>
    </w:p>
    <w:p>
      <w:pPr>
        <w:pStyle w:val="TextBody"/>
        <w:bidi w:val="0"/>
        <w:spacing w:lineRule="auto" w:line="288" w:before="0" w:after="100"/>
        <w:jc w:val="both"/>
        <w:rPr/>
      </w:pPr>
      <w:r>
        <w:rPr>
          <w:rFonts w:ascii="Times New Roman;sans-serif" w:hAnsi="Times New Roman;sans-serif"/>
          <w:b w:val="false"/>
          <w:color w:val="000000"/>
          <w:sz w:val="22"/>
        </w:rPr>
        <w:t>SECTION 10 MISCELLANEOUS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132</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68350"/>
                <wp:effectExtent l="0" t="0" r="0" b="0"/>
                <wp:wrapNone/>
                <wp:docPr id="116" name="Frame116"/>
                <a:graphic xmlns:a="http://schemas.openxmlformats.org/drawingml/2006/main">
                  <a:graphicData uri="http://schemas.microsoft.com/office/word/2010/wordprocessingShape">
                    <wps:wsp>
                      <wps:cNvSpPr txBox="1"/>
                      <wps:spPr>
                        <a:xfrm>
                          <a:off x="0" y="0"/>
                          <a:ext cx="6480175" cy="768350"/>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184.95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lineRule="auto" w:line="288" w:before="0" w:after="20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before="0" w:after="0"/>
        <w:jc w:val="both"/>
        <w:rPr/>
      </w:pPr>
      <w:r>
        <w:rPr/>
      </w:r>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10.1</w:t>
      </w:r>
      <w:r>
        <w:rPr>
          <w:color w:val="000000"/>
        </w:rPr>
        <w:t>    </w:t>
      </w:r>
      <w:r>
        <w:rPr>
          <w:rFonts w:ascii="Times New Roman;sans-serif" w:hAnsi="Times New Roman;sans-serif"/>
          <w:b w:val="false"/>
          <w:color w:val="000000"/>
          <w:sz w:val="22"/>
        </w:rPr>
        <w:t>Amendments and Waivers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132</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10.2</w:t>
      </w:r>
      <w:r>
        <w:rPr>
          <w:color w:val="000000"/>
        </w:rPr>
        <w:t>    </w:t>
      </w:r>
      <w:r>
        <w:rPr>
          <w:rFonts w:ascii="Times New Roman;sans-serif" w:hAnsi="Times New Roman;sans-serif"/>
          <w:b w:val="false"/>
          <w:color w:val="000000"/>
          <w:sz w:val="22"/>
        </w:rPr>
        <w:t>Notices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136</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10.3</w:t>
      </w:r>
      <w:r>
        <w:rPr>
          <w:color w:val="000000"/>
        </w:rPr>
        <w:t>    </w:t>
      </w:r>
      <w:r>
        <w:rPr>
          <w:rFonts w:ascii="Times New Roman;sans-serif" w:hAnsi="Times New Roman;sans-serif"/>
          <w:b w:val="false"/>
          <w:color w:val="000000"/>
          <w:sz w:val="22"/>
        </w:rPr>
        <w:t>No Waiver; Cumulative Remedies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138</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10.4</w:t>
      </w:r>
      <w:r>
        <w:rPr>
          <w:color w:val="000000"/>
        </w:rPr>
        <w:t>    </w:t>
      </w:r>
      <w:r>
        <w:rPr>
          <w:rFonts w:ascii="Times New Roman;sans-serif" w:hAnsi="Times New Roman;sans-serif"/>
          <w:b w:val="false"/>
          <w:color w:val="000000"/>
          <w:sz w:val="22"/>
        </w:rPr>
        <w:t>Survival of Representations and Warranties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138</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10.5</w:t>
      </w:r>
      <w:r>
        <w:rPr>
          <w:color w:val="000000"/>
        </w:rPr>
        <w:t>    </w:t>
      </w:r>
      <w:r>
        <w:rPr>
          <w:rFonts w:ascii="Times New Roman;sans-serif" w:hAnsi="Times New Roman;sans-serif"/>
          <w:b w:val="false"/>
          <w:color w:val="000000"/>
          <w:sz w:val="22"/>
        </w:rPr>
        <w:t>Expenses; Indemnity; Damage Waiver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138</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10.6</w:t>
      </w:r>
      <w:r>
        <w:rPr>
          <w:color w:val="000000"/>
        </w:rPr>
        <w:t>    </w:t>
      </w:r>
      <w:r>
        <w:rPr>
          <w:rFonts w:ascii="Times New Roman;sans-serif" w:hAnsi="Times New Roman;sans-serif"/>
          <w:b w:val="false"/>
          <w:color w:val="000000"/>
          <w:sz w:val="22"/>
        </w:rPr>
        <w:t>Successors and Assigns; Participations and Assignments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139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10.7</w:t>
      </w:r>
      <w:r>
        <w:rPr>
          <w:color w:val="000000"/>
        </w:rPr>
        <w:t>    </w:t>
      </w:r>
      <w:r>
        <w:rPr>
          <w:rFonts w:ascii="Times New Roman;sans-serif" w:hAnsi="Times New Roman;sans-serif"/>
          <w:b w:val="false"/>
          <w:color w:val="000000"/>
          <w:sz w:val="22"/>
        </w:rPr>
        <w:t>Adjustments; Set-off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144</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10.8</w:t>
      </w:r>
      <w:r>
        <w:rPr>
          <w:color w:val="000000"/>
        </w:rPr>
        <w:t>    </w:t>
      </w:r>
      <w:r>
        <w:rPr>
          <w:rFonts w:ascii="Times New Roman;sans-serif" w:hAnsi="Times New Roman;sans-serif"/>
          <w:b w:val="false"/>
          <w:color w:val="000000"/>
          <w:sz w:val="22"/>
        </w:rPr>
        <w:t>Payments Set Aside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144</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10.9</w:t>
      </w:r>
      <w:r>
        <w:rPr>
          <w:color w:val="000000"/>
        </w:rPr>
        <w:t>    </w:t>
      </w:r>
      <w:r>
        <w:rPr>
          <w:rFonts w:ascii="Times New Roman;sans-serif" w:hAnsi="Times New Roman;sans-serif"/>
          <w:b w:val="false"/>
          <w:color w:val="000000"/>
          <w:sz w:val="22"/>
        </w:rPr>
        <w:t>Interest Rate Limitation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145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10.10</w:t>
      </w:r>
      <w:r>
        <w:rPr>
          <w:color w:val="000000"/>
        </w:rPr>
        <w:t>    </w:t>
      </w:r>
      <w:r>
        <w:rPr>
          <w:rFonts w:ascii="Times New Roman;sans-serif" w:hAnsi="Times New Roman;sans-serif"/>
          <w:b w:val="false"/>
          <w:color w:val="000000"/>
          <w:sz w:val="22"/>
        </w:rPr>
        <w:t>Counterparts; Electronic Execution of Assignments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145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10.11</w:t>
      </w:r>
      <w:r>
        <w:rPr>
          <w:color w:val="000000"/>
        </w:rPr>
        <w:t>    </w:t>
      </w:r>
      <w:r>
        <w:rPr>
          <w:rFonts w:ascii="Times New Roman;sans-serif" w:hAnsi="Times New Roman;sans-serif"/>
          <w:b w:val="false"/>
          <w:color w:val="000000"/>
          <w:sz w:val="22"/>
        </w:rPr>
        <w:t>Severability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145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10.12</w:t>
      </w:r>
      <w:r>
        <w:rPr>
          <w:color w:val="000000"/>
        </w:rPr>
        <w:t>    </w:t>
      </w:r>
      <w:r>
        <w:rPr>
          <w:rFonts w:ascii="Times New Roman;sans-serif" w:hAnsi="Times New Roman;sans-serif"/>
          <w:b w:val="false"/>
          <w:color w:val="000000"/>
          <w:sz w:val="22"/>
        </w:rPr>
        <w:t>Integration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145</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10.13</w:t>
      </w:r>
      <w:r>
        <w:rPr>
          <w:color w:val="000000"/>
        </w:rPr>
        <w:t>    </w:t>
      </w:r>
      <w:r>
        <w:rPr>
          <w:rFonts w:ascii="Times New Roman;sans-serif" w:hAnsi="Times New Roman;sans-serif"/>
          <w:b w:val="false"/>
          <w:color w:val="000000"/>
          <w:sz w:val="22"/>
        </w:rPr>
        <w:t>GOVERNING LAW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146</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10.14</w:t>
      </w:r>
      <w:r>
        <w:rPr>
          <w:color w:val="000000"/>
        </w:rPr>
        <w:t>    </w:t>
      </w:r>
      <w:r>
        <w:rPr>
          <w:rFonts w:ascii="Times New Roman;sans-serif" w:hAnsi="Times New Roman;sans-serif"/>
          <w:b w:val="false"/>
          <w:color w:val="000000"/>
          <w:sz w:val="22"/>
        </w:rPr>
        <w:t>Submission to Jurisdiction; Waivers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146</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10.15</w:t>
      </w:r>
      <w:r>
        <w:rPr>
          <w:color w:val="000000"/>
        </w:rPr>
        <w:t>    </w:t>
      </w:r>
      <w:r>
        <w:rPr>
          <w:rFonts w:ascii="Times New Roman;sans-serif" w:hAnsi="Times New Roman;sans-serif"/>
          <w:b w:val="false"/>
          <w:color w:val="000000"/>
          <w:sz w:val="22"/>
        </w:rPr>
        <w:t>Acknowledgements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147</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10.16</w:t>
      </w:r>
      <w:r>
        <w:rPr>
          <w:color w:val="000000"/>
        </w:rPr>
        <w:t>    </w:t>
      </w:r>
      <w:r>
        <w:rPr>
          <w:rFonts w:ascii="Times New Roman;sans-serif" w:hAnsi="Times New Roman;sans-serif"/>
          <w:b w:val="false"/>
          <w:color w:val="000000"/>
          <w:sz w:val="22"/>
        </w:rPr>
        <w:t>Releases of Guarantees and Liens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147</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10.17</w:t>
      </w:r>
      <w:r>
        <w:rPr>
          <w:color w:val="000000"/>
        </w:rPr>
        <w:t>    </w:t>
      </w:r>
      <w:r>
        <w:rPr>
          <w:rFonts w:ascii="Times New Roman;sans-serif" w:hAnsi="Times New Roman;sans-serif"/>
          <w:b w:val="false"/>
          <w:color w:val="000000"/>
          <w:sz w:val="22"/>
        </w:rPr>
        <w:t>Treatment of Certain Information; Confidentiality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147</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10.18</w:t>
      </w:r>
      <w:r>
        <w:rPr>
          <w:color w:val="000000"/>
        </w:rPr>
        <w:t>    </w:t>
      </w:r>
      <w:r>
        <w:rPr>
          <w:rFonts w:ascii="Times New Roman;sans-serif" w:hAnsi="Times New Roman;sans-serif"/>
          <w:b w:val="false"/>
          <w:color w:val="000000"/>
          <w:sz w:val="22"/>
        </w:rPr>
        <w:t>Credit Bidding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148</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10.19</w:t>
      </w:r>
      <w:r>
        <w:rPr>
          <w:color w:val="000000"/>
        </w:rPr>
        <w:t>    </w:t>
      </w:r>
      <w:r>
        <w:rPr>
          <w:rFonts w:ascii="Times New Roman;sans-serif" w:hAnsi="Times New Roman;sans-serif"/>
          <w:b w:val="false"/>
          <w:color w:val="000000"/>
          <w:sz w:val="22"/>
        </w:rPr>
        <w:t>Judgment Currency; Exchange Rates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149</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10.20</w:t>
      </w:r>
      <w:r>
        <w:rPr>
          <w:color w:val="000000"/>
        </w:rPr>
        <w:t>    </w:t>
      </w:r>
      <w:r>
        <w:rPr>
          <w:rFonts w:ascii="Times New Roman;sans-serif" w:hAnsi="Times New Roman;sans-serif"/>
          <w:b w:val="false"/>
          <w:color w:val="000000"/>
          <w:sz w:val="22"/>
        </w:rPr>
        <w:t>Patriot Act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150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10.21</w:t>
      </w:r>
      <w:r>
        <w:rPr>
          <w:color w:val="000000"/>
        </w:rPr>
        <w:t>    </w:t>
      </w:r>
      <w:r>
        <w:rPr>
          <w:rFonts w:ascii="Times New Roman;sans-serif" w:hAnsi="Times New Roman;sans-serif"/>
          <w:b w:val="false"/>
          <w:color w:val="000000"/>
          <w:sz w:val="22"/>
        </w:rPr>
        <w:t>Acknowledgement and Consent to Bail-In of Affected Financial Institutions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150</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10.22</w:t>
      </w:r>
      <w:r>
        <w:rPr>
          <w:color w:val="000000"/>
        </w:rPr>
        <w:t>    </w:t>
      </w:r>
      <w:r>
        <w:rPr>
          <w:rFonts w:ascii="Times New Roman;sans-serif" w:hAnsi="Times New Roman;sans-serif"/>
          <w:b w:val="false"/>
          <w:color w:val="000000"/>
          <w:sz w:val="22"/>
        </w:rPr>
        <w:t>Acknowledgment Regarding any Supported QFCs    </w:t>
      </w:r>
      <w:hyperlink w:anchor="i9d53efbcc1114cd9995ed452ba61921b_13">
        <w:r>
          <w:rPr>
            <w:rStyle w:val="InternetLink"/>
            <w:rFonts w:ascii="Times New Roman;sans-serif" w:hAnsi="Times New Roman;sans-serif"/>
            <w:b w:val="false"/>
            <w:strike w:val="false"/>
            <w:dstrike w:val="false"/>
            <w:color w:val="000000"/>
            <w:sz w:val="22"/>
            <w:u w:val="none"/>
            <w:effect w:val="none"/>
          </w:rPr>
          <w:t>151</w:t>
        </w:r>
      </w:hyperlink>
    </w:p>
    <w:p>
      <w:pPr>
        <w:pStyle w:val="TextBody"/>
        <w:bidi w:val="0"/>
        <w:spacing w:lineRule="auto" w:line="288" w:before="0" w:after="100"/>
        <w:ind w:left="0" w:right="0" w:hanging="720"/>
        <w:jc w:val="both"/>
        <w:rPr/>
      </w:pPr>
      <w:r>
        <w:rPr>
          <w:rFonts w:ascii="Times New Roman;sans-serif" w:hAnsi="Times New Roman;sans-serif"/>
          <w:b w:val="false"/>
          <w:color w:val="000000"/>
          <w:sz w:val="22"/>
        </w:rPr>
        <w:t>10.23</w:t>
      </w:r>
      <w:r>
        <w:rPr>
          <w:color w:val="000000"/>
        </w:rPr>
        <w:t>    </w:t>
      </w:r>
      <w:r>
        <w:rPr>
          <w:rFonts w:ascii="Times New Roman;sans-serif" w:hAnsi="Times New Roman;sans-serif"/>
          <w:b w:val="false"/>
          <w:color w:val="000000"/>
          <w:sz w:val="22"/>
        </w:rPr>
        <w:t>Certification    151</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68350"/>
                <wp:effectExtent l="0" t="0" r="0" b="0"/>
                <wp:wrapNone/>
                <wp:docPr id="117" name="Frame117"/>
                <a:graphic xmlns:a="http://schemas.openxmlformats.org/drawingml/2006/main">
                  <a:graphicData uri="http://schemas.microsoft.com/office/word/2010/wordprocessingShape">
                    <wps:wsp>
                      <wps:cNvSpPr txBox="1"/>
                      <wps:spPr>
                        <a:xfrm>
                          <a:off x="0" y="0"/>
                          <a:ext cx="6480175" cy="76835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184.9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before="0" w:after="0"/>
        <w:jc w:val="both"/>
        <w:rPr/>
      </w:pPr>
      <w:r>
        <w:rPr/>
      </w:r>
    </w:p>
    <w:p>
      <w:pPr>
        <w:pStyle w:val="TextBody"/>
        <w:bidi w:val="0"/>
        <w:spacing w:lineRule="auto" w:line="288" w:before="96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SCHEDULES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Schedule 1.1A:        Commitments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Schedule 1.1B:        Closing Date Subsidiary Guarantors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Schedule 4.8:        Material Real Property </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Schedule 4.9:        Intellectual Property</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Schedule 4.15:        Subsidiaries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Schedule 5.3:        Post-Closing Conditions Subsequent</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Schedule 7.2(d):        Existing Indebtedness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Schedule 7.2(m):        [Reserved]</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Schedule 7.3(f):        Existing Liens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Schedule 7.8:        Investments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Schedule 7.11:        Transactions with Affiliates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Schedule 7.15(f):         Existing Negative Pledge Clauses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Schedule 7.16(vii):    Existing Clauses Restricting Subsidiary Distributions</w:t>
      </w:r>
    </w:p>
    <w:p>
      <w:pPr>
        <w:pStyle w:val="TextBody"/>
        <w:bidi w:val="0"/>
        <w:spacing w:lineRule="auto" w:line="288" w:before="48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Exhibit A:        Agreed Security Principles</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Exhibit B:        Form of Compliance Certificate</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Exhibit C:        [Reserved]</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Exhibit D:        Form of Solvency Certificate</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Exhibit E:        Form of Assignment and Assumption</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Exhibits F-1 – F-4:    Forms of U.S. Tax Compliance Certificate</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Exhibit G:        Form of Delayed Draw Certificate</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Exhibit H-1:        [Reserved]</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Exhibit H-2:        [Reserved]</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Exhibit H-3:        Form of Note</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Exhibit I:        Intercompany Loan Subordination Agreement</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Exhibit J:        [Reserved]</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Exhibit K:        Form of Notice of Borrowing</w:t>
      </w:r>
    </w:p>
    <w:p>
      <w:pPr>
        <w:pStyle w:val="TextBody"/>
        <w:bidi w:val="0"/>
        <w:spacing w:lineRule="auto" w:line="288" w:before="0" w:after="60"/>
        <w:jc w:val="both"/>
        <w:rPr>
          <w:rFonts w:ascii="Times New Roman;sans-serif" w:hAnsi="Times New Roman;sans-serif"/>
          <w:b w:val="false"/>
          <w:color w:val="000000"/>
          <w:sz w:val="22"/>
        </w:rPr>
      </w:pPr>
      <w:r>
        <w:rPr>
          <w:rFonts w:ascii="Times New Roman;sans-serif" w:hAnsi="Times New Roman;sans-serif"/>
          <w:b w:val="false"/>
          <w:color w:val="000000"/>
          <w:sz w:val="22"/>
        </w:rPr>
        <w:t>Exhibit L:        Form of Notice of Conversion/Continuation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42925"/>
                <wp:effectExtent l="0" t="0" r="0" b="0"/>
                <wp:wrapNone/>
                <wp:docPr id="118" name="Frame11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Schedules and Exhibits have been omitted pursuant to Regulation S-K Item 601(a)(5)</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Schedules and Exhibits have been omitted pursuant to Regulation S-K Item 601(a)(5)</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CREDIT AGREEMENT</w:t>
      </w:r>
    </w:p>
    <w:p>
      <w:pPr>
        <w:pStyle w:val="TextBody"/>
        <w:bidi w:val="0"/>
        <w:spacing w:lineRule="auto" w:line="288" w:before="0" w:after="240"/>
        <w:ind w:left="0" w:right="0" w:firstLine="720"/>
        <w:jc w:val="both"/>
        <w:rPr/>
      </w:pPr>
      <w:r>
        <w:rPr>
          <w:rFonts w:ascii="Times New Roman;sans-serif" w:hAnsi="Times New Roman;sans-serif"/>
          <w:b/>
          <w:color w:val="000000"/>
          <w:sz w:val="22"/>
        </w:rPr>
        <w:t>THIS CREDIT</w:t>
      </w:r>
      <w:r>
        <w:rPr>
          <w:color w:val="000000"/>
        </w:rPr>
        <w:t xml:space="preserve"> </w:t>
      </w:r>
      <w:r>
        <w:rPr>
          <w:rFonts w:ascii="Times New Roman;sans-serif" w:hAnsi="Times New Roman;sans-serif"/>
          <w:b/>
          <w:color w:val="000000"/>
          <w:sz w:val="22"/>
        </w:rPr>
        <w:t>AGREEMENT</w:t>
      </w:r>
      <w:r>
        <w:rPr>
          <w:color w:val="000000"/>
        </w:rPr>
        <w:t xml:space="preserve"> </w:t>
      </w:r>
      <w:r>
        <w:rPr>
          <w:rFonts w:ascii="Times New Roman;sans-serif" w:hAnsi="Times New Roman;sans-serif"/>
          <w:b w:val="false"/>
          <w:color w:val="000000"/>
          <w:sz w:val="22"/>
        </w:rPr>
        <w:t>(this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xml:space="preserve">), dated as of July 16, 2024, is entered into by and among </w:t>
      </w:r>
      <w:r>
        <w:rPr>
          <w:rFonts w:ascii="Times New Roman;sans-serif" w:hAnsi="Times New Roman;sans-serif"/>
          <w:b/>
          <w:color w:val="000000"/>
          <w:sz w:val="22"/>
        </w:rPr>
        <w:t>HEALTH CATALYST, INC.</w:t>
      </w:r>
      <w:r>
        <w:rPr>
          <w:rFonts w:ascii="Times New Roman;sans-serif" w:hAnsi="Times New Roman;sans-serif"/>
          <w:b w:val="false"/>
          <w:color w:val="000000"/>
          <w:sz w:val="22"/>
        </w:rPr>
        <w:t>, a Delaware corporation (the “</w:t>
      </w:r>
      <w:r>
        <w:rPr>
          <w:rFonts w:ascii="Times New Roman;sans-serif" w:hAnsi="Times New Roman;sans-serif"/>
          <w:b/>
          <w:i/>
          <w:color w:val="000000"/>
          <w:sz w:val="22"/>
        </w:rPr>
        <w:t>Borrower</w:t>
      </w:r>
      <w:r>
        <w:rPr>
          <w:color w:val="000000"/>
        </w:rPr>
        <w:t>”</w:t>
      </w:r>
      <w:r>
        <w:rPr>
          <w:rFonts w:ascii="Times New Roman;sans-serif" w:hAnsi="Times New Roman;sans-serif"/>
          <w:b w:val="false"/>
          <w:color w:val="000000"/>
          <w:sz w:val="22"/>
        </w:rPr>
        <w:t>), the lenders from time to time party to this Agreement (each a “</w:t>
      </w:r>
      <w:r>
        <w:rPr>
          <w:rFonts w:ascii="Times New Roman;sans-serif" w:hAnsi="Times New Roman;sans-serif"/>
          <w:b/>
          <w:i/>
          <w:color w:val="000000"/>
          <w:sz w:val="22"/>
        </w:rPr>
        <w:t>Lender</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i/>
          <w:color w:val="000000"/>
          <w:sz w:val="22"/>
        </w:rPr>
        <w:t>Lenders</w:t>
      </w:r>
      <w:r>
        <w:rPr>
          <w:color w:val="000000"/>
        </w:rPr>
        <w:t>”</w:t>
      </w:r>
      <w:r>
        <w:rPr>
          <w:rFonts w:ascii="Times New Roman;sans-serif" w:hAnsi="Times New Roman;sans-serif"/>
          <w:b w:val="false"/>
          <w:color w:val="000000"/>
          <w:sz w:val="22"/>
        </w:rPr>
        <w:t xml:space="preserve">) and </w:t>
      </w:r>
      <w:r>
        <w:rPr>
          <w:rFonts w:ascii="Times New Roman;sans-serif" w:hAnsi="Times New Roman;sans-serif"/>
          <w:b/>
          <w:color w:val="000000"/>
          <w:sz w:val="22"/>
        </w:rPr>
        <w:t>SILVER POINT FINANCE, LLC</w:t>
      </w:r>
      <w:r>
        <w:rPr>
          <w:color w:val="000000"/>
        </w:rPr>
        <w:t xml:space="preserve"> </w:t>
      </w:r>
      <w:r>
        <w:rPr>
          <w:rFonts w:ascii="Times New Roman;sans-serif" w:hAnsi="Times New Roman;sans-serif"/>
          <w:b w:val="false"/>
          <w:color w:val="000000"/>
          <w:sz w:val="22"/>
        </w:rPr>
        <w:t>(“</w:t>
      </w:r>
      <w:r>
        <w:rPr>
          <w:rFonts w:ascii="Times New Roman;sans-serif" w:hAnsi="Times New Roman;sans-serif"/>
          <w:b/>
          <w:i/>
          <w:color w:val="000000"/>
          <w:sz w:val="22"/>
        </w:rPr>
        <w:t>Silver Point</w:t>
      </w:r>
      <w:r>
        <w:rPr>
          <w:color w:val="000000"/>
        </w:rPr>
        <w:t>”</w:t>
      </w:r>
      <w:r>
        <w:rPr>
          <w:rFonts w:ascii="Times New Roman;sans-serif" w:hAnsi="Times New Roman;sans-serif"/>
          <w:b w:val="false"/>
          <w:color w:val="000000"/>
          <w:sz w:val="22"/>
        </w:rPr>
        <w:t>), as the Administrative Agent.</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color w:val="000000"/>
        </w:rPr>
        <w:t xml:space="preserve"> </w:t>
      </w:r>
      <w:r>
        <w:rPr>
          <w:rFonts w:ascii="Times New Roman;sans-serif" w:hAnsi="Times New Roman;sans-serif"/>
          <w:b w:val="false"/>
          <w:color w:val="000000"/>
          <w:sz w:val="22"/>
        </w:rPr>
        <w:t>capitalized terms used in these recitals will have the respective meanings set forth for such terms in Section 1.1;</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Lenders have agreed to extend certain credit facilities to the Borrower, upon the terms and conditions specified in this Agreement, consisting of (i) a closing date term loan facility in the aggregate principal amount of $125,000,000 and (ii) a delayed draw term loan facility in an aggregate principal amount of $100,000,000 (and consisting of Delayed Draw A Commitments in the aggregate principal amount of $40,000,000 and Delayed Draw B Commitments in the aggregate principal amount of $60,000,000);</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color w:val="000000"/>
        </w:rPr>
        <w:t xml:space="preserve"> </w:t>
      </w:r>
      <w:r>
        <w:rPr>
          <w:rFonts w:ascii="Times New Roman;sans-serif" w:hAnsi="Times New Roman;sans-serif"/>
          <w:b w:val="false"/>
          <w:color w:val="000000"/>
          <w:sz w:val="22"/>
        </w:rPr>
        <w:t xml:space="preserve">the proceeds of the term loans borrowed on the Closing Date will be used on or about the Closing Date (or, with respect to the Existing Convertible Notes Redemption, on or prior to the scheduled maturity date for the applicable Existing Convertible Notes) (A) to consummate the Existing Convertible Notes Redemption (and to pay fees, costs and expenses in connection therewith), (B) to consummate the Closing Date Transactions, (C) to pay the Closing Date Transaction Costs, (D) for working capital and (E) for other general corporate purposes and other purposes not prohibited hereunder; </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each Guarantor has agreed to guarantee the Obligations of the Borrower; and</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each Loan Party has agreed to secure all of its Obligations by granting to the Administrative Agent, for the benefit of the Secured Parties, a first priority lien (subject to Liens permitted by the Loan Documents) on its personal property and assets as and to the extent described in the Security Documents.</w:t>
      </w:r>
    </w:p>
    <w:p>
      <w:pPr>
        <w:pStyle w:val="TextBody"/>
        <w:bidi w:val="0"/>
        <w:spacing w:lineRule="auto" w:line="288" w:before="0" w:after="240"/>
        <w:ind w:left="0" w:right="0" w:firstLine="72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mutual conditions and agreements set forth in this Agreement, and for good and valuable consideration, the receipt of which is hereby acknowledged, the parties hereto hereby agree as follows: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SECTION 1</w:t>
        <w:br/>
        <w:t>DEFINITIONS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1.1    Defined Terms</w:t>
      </w:r>
      <w:r>
        <w:rPr>
          <w:rFonts w:ascii="Times New Roman;sans-serif" w:hAnsi="Times New Roman;sans-serif"/>
          <w:b w:val="false"/>
          <w:color w:val="000000"/>
          <w:sz w:val="22"/>
        </w:rPr>
        <w:t>. As used in this Agreement (including the recitals hereof), the terms listed in this Section 1.1 shall have the respective meanings set forth in this Section 1.1.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ABR</w:t>
      </w:r>
      <w:r>
        <w:rPr>
          <w:color w:val="000000"/>
        </w:rPr>
        <w:t>”</w:t>
      </w:r>
      <w:r>
        <w:rPr>
          <w:rFonts w:ascii="Times New Roman;sans-serif" w:hAnsi="Times New Roman;sans-serif"/>
          <w:b w:val="false"/>
          <w:color w:val="000000"/>
          <w:sz w:val="22"/>
        </w:rPr>
        <w:t xml:space="preserve">: for any day, a rate </w:t>
      </w:r>
      <w:r>
        <w:rPr>
          <w:rFonts w:ascii="Times New Roman;sans-serif" w:hAnsi="Times New Roman;sans-serif"/>
          <w:b w:val="false"/>
          <w:i/>
          <w:color w:val="000000"/>
          <w:sz w:val="22"/>
        </w:rPr>
        <w:t>per annum</w:t>
      </w:r>
      <w:r>
        <w:rPr>
          <w:color w:val="000000"/>
        </w:rPr>
        <w:t xml:space="preserve"> </w:t>
      </w:r>
      <w:r>
        <w:rPr>
          <w:rFonts w:ascii="Times New Roman;sans-serif" w:hAnsi="Times New Roman;sans-serif"/>
          <w:b w:val="false"/>
          <w:color w:val="000000"/>
          <w:sz w:val="22"/>
        </w:rPr>
        <w:t xml:space="preserve">equal to the highest of (a) the Prime Rate in effect on such day, (b) the Federal Funds Effective Rate in effect for such day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0.50% </w:t>
      </w:r>
      <w:r>
        <w:rPr>
          <w:rFonts w:ascii="Times New Roman;sans-serif" w:hAnsi="Times New Roman;sans-serif"/>
          <w:b w:val="false"/>
          <w:i/>
          <w:color w:val="000000"/>
          <w:sz w:val="22"/>
        </w:rPr>
        <w:t>per annum</w:t>
      </w:r>
      <w:r>
        <w:rPr>
          <w:color w:val="000000"/>
        </w:rPr>
        <w:t xml:space="preserve"> </w:t>
      </w:r>
      <w:r>
        <w:rPr>
          <w:rFonts w:ascii="Times New Roman;sans-serif" w:hAnsi="Times New Roman;sans-serif"/>
          <w:b w:val="false"/>
          <w:color w:val="000000"/>
          <w:sz w:val="22"/>
        </w:rPr>
        <w:t xml:space="preserve">and (c) the Daily SOFR Rate on such day </w:t>
      </w:r>
      <w:r>
        <w:rPr>
          <w:rFonts w:ascii="Times New Roman;sans-serif" w:hAnsi="Times New Roman;sans-serif"/>
          <w:b w:val="false"/>
          <w:i/>
          <w:color w:val="000000"/>
          <w:sz w:val="22"/>
        </w:rPr>
        <w:t>plus</w:t>
      </w:r>
      <w:r>
        <w:rPr>
          <w:color w:val="000000"/>
        </w:rPr>
        <w:t> </w:t>
      </w:r>
      <w:r>
        <w:rPr>
          <w:rFonts w:ascii="Times New Roman;sans-serif" w:hAnsi="Times New Roman;sans-serif"/>
          <w:b w:val="false"/>
          <w:color w:val="000000"/>
          <w:sz w:val="22"/>
        </w:rPr>
        <w:t xml:space="preserve">1.00% </w:t>
      </w:r>
      <w:r>
        <w:rPr>
          <w:rFonts w:ascii="Times New Roman;sans-serif" w:hAnsi="Times New Roman;sans-serif"/>
          <w:b w:val="false"/>
          <w:i/>
          <w:color w:val="000000"/>
          <w:sz w:val="22"/>
        </w:rPr>
        <w:t>per annum</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ABR shall at no time be less than 2.00% </w:t>
      </w:r>
      <w:r>
        <w:rPr>
          <w:rFonts w:ascii="Times New Roman;sans-serif" w:hAnsi="Times New Roman;sans-serif"/>
          <w:b w:val="false"/>
          <w:i/>
          <w:color w:val="000000"/>
          <w:sz w:val="22"/>
        </w:rPr>
        <w:t>per annum</w:t>
      </w:r>
      <w:r>
        <w:rPr>
          <w:rFonts w:ascii="Times New Roman;sans-serif" w:hAnsi="Times New Roman;sans-serif"/>
          <w:b w:val="false"/>
          <w:color w:val="000000"/>
          <w:sz w:val="22"/>
        </w:rPr>
        <w:t xml:space="preserve">. If the Administrative Agent shall have determined (which determination shall be conclusive absent clearly manifest error) that it is unable to ascertain the Federal Funds Effective Rate or the Daily SOFR Rate for any reason, including the inability or failure of the Administrative Agent to obtain sufficient quotations in accordance with the terms of the definition of the term Federal Funds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50520"/>
                <wp:effectExtent l="0" t="0" r="0" b="0"/>
                <wp:wrapNone/>
                <wp:docPr id="119" name="Frame1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Effective Rate, the ABR shall be determined without regard to clause (b) or (c), as applicable, of the preceding sentence until the circumstances giving rise to such inability no longer exist. Any change in the ABR due to a change in the Prime Rate, the Federal Funds Effective Rate or the Daily SOFR Rate, as applicable, shall be effective from and including the effective date of such change in the Prime Rate, the Federal Funds Effective Rate or the Daily SOFR Rate, as applicable, respectively.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ABR Loans</w:t>
      </w:r>
      <w:r>
        <w:rPr>
          <w:color w:val="000000"/>
        </w:rPr>
        <w:t>”</w:t>
      </w:r>
      <w:r>
        <w:rPr>
          <w:rFonts w:ascii="Times New Roman;sans-serif" w:hAnsi="Times New Roman;sans-serif"/>
          <w:b w:val="false"/>
          <w:color w:val="000000"/>
          <w:sz w:val="22"/>
        </w:rPr>
        <w:t>: Loans, the rate of interest applicable to which is based upon the ABR.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Acceptable Discount Price</w:t>
      </w:r>
      <w:r>
        <w:rPr>
          <w:color w:val="000000"/>
        </w:rPr>
        <w:t>”</w:t>
      </w:r>
      <w:r>
        <w:rPr>
          <w:rFonts w:ascii="Times New Roman;sans-serif" w:hAnsi="Times New Roman;sans-serif"/>
          <w:b w:val="false"/>
          <w:color w:val="000000"/>
          <w:sz w:val="22"/>
        </w:rPr>
        <w:t>: as defined in Section 2.29(b).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Accounting Change</w:t>
      </w:r>
      <w:r>
        <w:rPr>
          <w:color w:val="000000"/>
        </w:rPr>
        <w:t>”</w:t>
      </w:r>
      <w:r>
        <w:rPr>
          <w:rFonts w:ascii="Times New Roman;sans-serif" w:hAnsi="Times New Roman;sans-serif"/>
          <w:b w:val="false"/>
          <w:color w:val="000000"/>
          <w:sz w:val="22"/>
        </w:rPr>
        <w:t xml:space="preserve">: is defined in the definition of “GAAP.”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Accounts</w:t>
      </w:r>
      <w:r>
        <w:rPr>
          <w:color w:val="000000"/>
        </w:rPr>
        <w:t>”</w:t>
      </w:r>
      <w:r>
        <w:rPr>
          <w:rFonts w:ascii="Times New Roman;sans-serif" w:hAnsi="Times New Roman;sans-serif"/>
          <w:b w:val="false"/>
          <w:color w:val="000000"/>
          <w:sz w:val="22"/>
        </w:rPr>
        <w:t xml:space="preserve">: all “accounts” (as defined in the UCC) of a Person, including accounts, accounts receivable, monies due or to become due and obligations in any form (whether arising in connection with contracts, contract rights, instruments, general intangibles, or chattel paper), in each case whether arising out of goods sold or services rendered or from any other transaction and whether or not earned by performance, now or hereafter in existence, and all documents of title or other documents representing any of the foregoing, and all collateral security and guaranties of any kind, now or hereafter in existence, given by any Person with respect to any of the foregoing. Unless otherwise stated, the term “Account,” when used herein, shall mean an Account of the Group Members.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Acquired Entity or Business</w:t>
      </w:r>
      <w:r>
        <w:rPr>
          <w:color w:val="000000"/>
        </w:rPr>
        <w:t>”</w:t>
      </w:r>
      <w:r>
        <w:rPr>
          <w:rFonts w:ascii="Times New Roman;sans-serif" w:hAnsi="Times New Roman;sans-serif"/>
          <w:b w:val="false"/>
          <w:color w:val="000000"/>
          <w:sz w:val="22"/>
        </w:rPr>
        <w:t xml:space="preserve">: for any period, any Person, property, business or asset acquired by the Borrower or any Subsidiary during such period, to the extent not subsequently sold, transferred or otherwise disposed of by the Borrower or such Subsidiary during such period.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Acquired Recurring Revenues</w:t>
      </w:r>
      <w:r>
        <w:rPr>
          <w:color w:val="000000"/>
        </w:rPr>
        <w:t>”</w:t>
      </w:r>
      <w:r>
        <w:rPr>
          <w:rFonts w:ascii="Times New Roman;sans-serif" w:hAnsi="Times New Roman;sans-serif"/>
          <w:b w:val="false"/>
          <w:color w:val="000000"/>
          <w:sz w:val="22"/>
        </w:rPr>
        <w:t>: with respect to any Acquired Entity or Business for any period, the amount for such period of Recurring Revenues of such Acquired Entity or Business, all as determined on a consolidated basis for such Acquired Entity or Business.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Administrative Agent</w:t>
      </w:r>
      <w:r>
        <w:rPr>
          <w:color w:val="000000"/>
        </w:rPr>
        <w:t>”</w:t>
      </w:r>
      <w:r>
        <w:rPr>
          <w:rFonts w:ascii="Times New Roman;sans-serif" w:hAnsi="Times New Roman;sans-serif"/>
          <w:b w:val="false"/>
          <w:color w:val="000000"/>
          <w:sz w:val="22"/>
        </w:rPr>
        <w:t>: Silver Point, in its capacity as the administrative agent for the Lenders and the collateral agent for the Secured Parties under this Agreement and the other Loan Documents, together with any of its successors in such capacity.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Affected Financial Institution</w:t>
      </w:r>
      <w:r>
        <w:rPr>
          <w:color w:val="000000"/>
        </w:rPr>
        <w:t>”</w:t>
      </w:r>
      <w:r>
        <w:rPr>
          <w:rFonts w:ascii="Times New Roman;sans-serif" w:hAnsi="Times New Roman;sans-serif"/>
          <w:b w:val="false"/>
          <w:color w:val="000000"/>
          <w:sz w:val="22"/>
        </w:rPr>
        <w:t>: (a) any EEA Financial Institution or (b) any UK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Affected Lender</w:t>
      </w:r>
      <w:r>
        <w:rPr>
          <w:color w:val="000000"/>
        </w:rPr>
        <w:t>”</w:t>
      </w:r>
      <w:r>
        <w:rPr>
          <w:rFonts w:ascii="Times New Roman;sans-serif" w:hAnsi="Times New Roman;sans-serif"/>
          <w:b w:val="false"/>
          <w:color w:val="000000"/>
          <w:sz w:val="22"/>
        </w:rPr>
        <w:t>: is defined in Section 2.23.</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Affiliate</w:t>
      </w:r>
      <w:r>
        <w:rPr>
          <w:color w:val="000000"/>
        </w:rPr>
        <w:t>”</w:t>
      </w:r>
      <w:r>
        <w:rPr>
          <w:rFonts w:ascii="Times New Roman;sans-serif" w:hAnsi="Times New Roman;sans-serif"/>
          <w:b w:val="false"/>
          <w:color w:val="000000"/>
          <w:sz w:val="22"/>
        </w:rPr>
        <w:t xml:space="preserve">: with respect to a specified Person, another Person that directly, or indirectly through one or more intermediaries, Controls or is Controlled by or is under common Control with the Person specified, and solely for the purposes of Section 7.11, with respect to a specified Person, Affiliate shall also include another Person that directly, or indirectly through one or more intermediaries owns 10% or more of the outstanding Capital Stock of such Person;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neither the Administrative Agent nor the Lenders shall be deemed Affiliates of the Loan Parties solely as a result of the exercise of their rights and remedies under, and in accordance with, the Loan Documents.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Agent Parties</w:t>
      </w:r>
      <w:r>
        <w:rPr>
          <w:color w:val="000000"/>
        </w:rPr>
        <w:t>”</w:t>
      </w:r>
      <w:r>
        <w:rPr>
          <w:rFonts w:ascii="Times New Roman;sans-serif" w:hAnsi="Times New Roman;sans-serif"/>
          <w:b w:val="false"/>
          <w:color w:val="000000"/>
          <w:sz w:val="22"/>
        </w:rPr>
        <w:t>: is defined in Section 10.2(c)(ii).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Aggregate Exposure</w:t>
      </w:r>
      <w:r>
        <w:rPr>
          <w:color w:val="000000"/>
        </w:rPr>
        <w:t>”</w:t>
      </w:r>
      <w:r>
        <w:rPr>
          <w:rFonts w:ascii="Times New Roman;sans-serif" w:hAnsi="Times New Roman;sans-serif"/>
          <w:b w:val="false"/>
          <w:color w:val="000000"/>
          <w:sz w:val="22"/>
        </w:rPr>
        <w:t xml:space="preserve">: with respect to any Lender at any time, an amount equal to the sum of (a) without duplication of clause (b), the aggregate then unpaid principal amount of such Lender’s Loans,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60705"/>
                <wp:effectExtent l="0" t="0" r="0" b="0"/>
                <wp:wrapNone/>
                <wp:docPr id="120" name="Frame12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(b) without duplication of clause (a), the aggregate amount of such Lender’s Commitments then in effect.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Aggregate Exposure Percentage</w:t>
      </w:r>
      <w:r>
        <w:rPr>
          <w:color w:val="000000"/>
        </w:rPr>
        <w:t>”</w:t>
      </w:r>
      <w:r>
        <w:rPr>
          <w:rFonts w:ascii="Times New Roman;sans-serif" w:hAnsi="Times New Roman;sans-serif"/>
          <w:b w:val="false"/>
          <w:color w:val="000000"/>
          <w:sz w:val="22"/>
        </w:rPr>
        <w:t>: with respect to any Lender at any time, the ratio (expressed as a percentage) of such Lender’s Aggregate Exposure at such time to the Aggregate Exposure of all Lenders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Agreed Security Principles</w:t>
      </w:r>
      <w:r>
        <w:rPr>
          <w:color w:val="000000"/>
        </w:rPr>
        <w:t>”</w:t>
      </w:r>
      <w:r>
        <w:rPr>
          <w:rFonts w:ascii="Times New Roman;sans-serif" w:hAnsi="Times New Roman;sans-serif"/>
          <w:b w:val="false"/>
          <w:color w:val="000000"/>
          <w:sz w:val="22"/>
        </w:rPr>
        <w:t>: the Agreed Security Principles as set forth on Exhibit A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is defined in the preamble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Agreement Currency</w:t>
      </w:r>
      <w:r>
        <w:rPr>
          <w:color w:val="000000"/>
        </w:rPr>
        <w:t>”</w:t>
      </w:r>
      <w:r>
        <w:rPr>
          <w:rFonts w:ascii="Times New Roman;sans-serif" w:hAnsi="Times New Roman;sans-serif"/>
          <w:b w:val="false"/>
          <w:color w:val="000000"/>
          <w:sz w:val="22"/>
        </w:rPr>
        <w:t>: is defined in Section 10.19(a).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All-In Yield</w:t>
      </w:r>
      <w:r>
        <w:rPr>
          <w:color w:val="000000"/>
        </w:rPr>
        <w:t>”</w:t>
      </w:r>
      <w:r>
        <w:rPr>
          <w:rFonts w:ascii="Times New Roman;sans-serif" w:hAnsi="Times New Roman;sans-serif"/>
          <w:b w:val="false"/>
          <w:color w:val="000000"/>
          <w:sz w:val="22"/>
        </w:rPr>
        <w:t>: is defined in Section 2.27(b)(ix).</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Anti-Corruption Laws</w:t>
      </w:r>
      <w:r>
        <w:rPr>
          <w:color w:val="000000"/>
        </w:rPr>
        <w:t>”</w:t>
      </w:r>
      <w:r>
        <w:rPr>
          <w:rFonts w:ascii="Times New Roman;sans-serif" w:hAnsi="Times New Roman;sans-serif"/>
          <w:b w:val="false"/>
          <w:color w:val="000000"/>
          <w:sz w:val="22"/>
        </w:rPr>
        <w:t>: any and all laws, rules and regulations of any jurisdiction concerning or related to the prevention or prohibition of bribery or corruption, including but not limited to: (a) the U.S. Foreign Corrupt Practices Act of 1977, as amended; and (b) the UK Bribery Act 2010, as amended.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Anti-Money Laundering Laws</w:t>
      </w:r>
      <w:r>
        <w:rPr>
          <w:color w:val="000000"/>
        </w:rPr>
        <w:t>”</w:t>
      </w:r>
      <w:r>
        <w:rPr>
          <w:rFonts w:ascii="Times New Roman;sans-serif" w:hAnsi="Times New Roman;sans-serif"/>
          <w:b w:val="false"/>
          <w:color w:val="000000"/>
          <w:sz w:val="22"/>
        </w:rPr>
        <w:t>: any and all laws, rules and regulations of any jurisdiction concerning or related to the prevention or prohibition of money laundering or terrorism financing, including but not limited to the U.S. Bank Secrecy Act, as amended by the Patriot Act, and the rules and regulations promulgated thereunder.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Applicable Additional Convertible Debt Purchase Agreement Date</w:t>
      </w:r>
      <w:r>
        <w:rPr>
          <w:color w:val="000000"/>
        </w:rPr>
        <w:t>”</w:t>
      </w:r>
      <w:r>
        <w:rPr>
          <w:rFonts w:ascii="Times New Roman;sans-serif" w:hAnsi="Times New Roman;sans-serif"/>
          <w:b w:val="false"/>
          <w:color w:val="000000"/>
          <w:sz w:val="22"/>
        </w:rPr>
        <w:t>: with respect to any Permitted Convertible Indebtedness, the date of the signing of the purchase agreement for such Permitted Convertible Indebtedness by the Borrower and the purchasers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Applicable Discount Price</w:t>
      </w:r>
      <w:r>
        <w:rPr>
          <w:color w:val="000000"/>
        </w:rPr>
        <w:t>”</w:t>
      </w:r>
      <w:r>
        <w:rPr>
          <w:rFonts w:ascii="Times New Roman;sans-serif" w:hAnsi="Times New Roman;sans-serif"/>
          <w:b w:val="false"/>
          <w:color w:val="000000"/>
          <w:sz w:val="22"/>
        </w:rPr>
        <w:t>: is defined in Section 2.29(b).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Applicable Make-Whole Amount</w:t>
      </w:r>
      <w:r>
        <w:rPr>
          <w:color w:val="000000"/>
        </w:rPr>
        <w:t>”</w:t>
      </w:r>
      <w:r>
        <w:rPr>
          <w:rFonts w:ascii="Times New Roman;sans-serif" w:hAnsi="Times New Roman;sans-serif"/>
          <w:b w:val="false"/>
          <w:color w:val="000000"/>
          <w:sz w:val="22"/>
        </w:rPr>
        <w:t>: with respect to any applicable repayment, prepayment or acceleration of the Term Loans, an amount equal to the present value at the date of such repayment, prepayment or acceleration of the amount of interest that would have been paid on the principal amount of the Term Loans being so repaid, prepaid or accelerated for the period from and including the date of such repayment, prepayment or acceleration to but excluding the date that is the one (1) year anniversary of the Closing Date (in each case, calculated on the basis of the interest rate with respect to the Term Loans that is in effect on the date of such repayment, prepayment or acceleration, computed using a discount rate equal to the Treasury Rate plus 50 basis points and on the basis of actual days elapsed over a year of three hundred sixty (360) days).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Applicable Margin</w:t>
      </w:r>
      <w:r>
        <w:rPr>
          <w:color w:val="000000"/>
        </w:rPr>
        <w:t>”</w:t>
      </w:r>
      <w:r>
        <w:rPr>
          <w:rFonts w:ascii="Times New Roman;sans-serif" w:hAnsi="Times New Roman;sans-serif"/>
          <w:b w:val="false"/>
          <w:color w:val="000000"/>
          <w:sz w:val="22"/>
        </w:rPr>
        <w:t xml:space="preserve">: for the Initial Loans and the Delayed Draw Loans, (i) with respect to SOFR Loans, 6.50% </w:t>
      </w:r>
      <w:r>
        <w:rPr>
          <w:rFonts w:ascii="Times New Roman;sans-serif" w:hAnsi="Times New Roman;sans-serif"/>
          <w:b w:val="false"/>
          <w:i/>
          <w:color w:val="000000"/>
          <w:sz w:val="22"/>
        </w:rPr>
        <w:t>per annum</w:t>
      </w:r>
      <w:r>
        <w:rPr>
          <w:rFonts w:ascii="Times New Roman;sans-serif" w:hAnsi="Times New Roman;sans-serif"/>
          <w:b w:val="false"/>
          <w:color w:val="000000"/>
          <w:sz w:val="22"/>
        </w:rPr>
        <w:t xml:space="preserve">, and (ii) with respect to ABR Loans, 5.50% </w:t>
      </w:r>
      <w:r>
        <w:rPr>
          <w:rFonts w:ascii="Times New Roman;sans-serif" w:hAnsi="Times New Roman;sans-serif"/>
          <w:b w:val="false"/>
          <w:i/>
          <w:color w:val="000000"/>
          <w:sz w:val="22"/>
        </w:rPr>
        <w:t>per annum</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With respect to Incremental Loans, Extended Loans, and any Credit Agreement Refinancing Indebtedness, the “Applicable Margin” shall be as set forth in the applicable Incremental Amendment, Extension Amendment or Refinancing Amendment, as applicable.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Approved Fund</w:t>
      </w:r>
      <w:r>
        <w:rPr>
          <w:color w:val="000000"/>
        </w:rPr>
        <w:t>”</w:t>
      </w:r>
      <w:r>
        <w:rPr>
          <w:rFonts w:ascii="Times New Roman;sans-serif" w:hAnsi="Times New Roman;sans-serif"/>
          <w:b w:val="false"/>
          <w:color w:val="000000"/>
          <w:sz w:val="22"/>
        </w:rPr>
        <w:t>: any Fund that is administered or managed by (a) a Lender, (b) an Affiliate of a Lender, or (c) an entity or an Affiliate of an entity that administers or manages a Lender.</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60705"/>
                <wp:effectExtent l="0" t="0" r="0" b="0"/>
                <wp:wrapNone/>
                <wp:docPr id="121" name="Frame1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ARR Leverage Covenant</w:t>
      </w:r>
      <w:r>
        <w:rPr>
          <w:color w:val="000000"/>
        </w:rPr>
        <w:t>”</w:t>
      </w:r>
      <w:r>
        <w:rPr>
          <w:rFonts w:ascii="Times New Roman;sans-serif" w:hAnsi="Times New Roman;sans-serif"/>
          <w:b w:val="false"/>
          <w:color w:val="000000"/>
          <w:sz w:val="22"/>
        </w:rPr>
        <w:t>: the covenant set forth in Section 7.1(a).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ARR Net Leverage Ratio</w:t>
      </w:r>
      <w:r>
        <w:rPr>
          <w:color w:val="000000"/>
        </w:rPr>
        <w:t>”</w:t>
      </w:r>
      <w:r>
        <w:rPr>
          <w:rFonts w:ascii="Times New Roman;sans-serif" w:hAnsi="Times New Roman;sans-serif"/>
          <w:b w:val="false"/>
          <w:color w:val="000000"/>
          <w:sz w:val="22"/>
        </w:rPr>
        <w:t xml:space="preserve">: as of any date of determination, the ratio of (a) (i) Consolidated Funded Indebtedness as of such date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(ii) Unrestricted Cash on such date to (b) LQA Recurring Revenues of the Borrower and its consolidated Subsidiaries for the Test Period ending on or most recently ending prior to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ARR Total Leverage Ratio</w:t>
      </w:r>
      <w:r>
        <w:rPr>
          <w:color w:val="000000"/>
        </w:rPr>
        <w:t>”</w:t>
      </w:r>
      <w:r>
        <w:rPr>
          <w:rFonts w:ascii="Times New Roman;sans-serif" w:hAnsi="Times New Roman;sans-serif"/>
          <w:b w:val="false"/>
          <w:color w:val="000000"/>
          <w:sz w:val="22"/>
        </w:rPr>
        <w:t>: as of any date of determination, the ratio of (a) Consolidated Funded Indebtedness as of such date to (b) LQA Recurring Revenues of the Borrower and its consolidated Subsidiaries for the Test Period ending on or most recently ending prior to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Assignment and Assumption</w:t>
      </w:r>
      <w:r>
        <w:rPr>
          <w:color w:val="000000"/>
        </w:rPr>
        <w:t>”</w:t>
      </w:r>
      <w:r>
        <w:rPr>
          <w:rFonts w:ascii="Times New Roman;sans-serif" w:hAnsi="Times New Roman;sans-serif"/>
          <w:b w:val="false"/>
          <w:color w:val="000000"/>
          <w:sz w:val="22"/>
        </w:rPr>
        <w:t>: an assignment and assumption entered into by a Lender and an Eligible Assignee (with the consent of any party whose consent is required by Section 10.6), and accepted by the Administrative Agent, in substantially the form of Exhibit E 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Available Amount</w:t>
      </w:r>
      <w:r>
        <w:rPr>
          <w:color w:val="000000"/>
        </w:rPr>
        <w:t>”</w:t>
      </w:r>
      <w:r>
        <w:rPr>
          <w:rFonts w:ascii="Times New Roman;sans-serif" w:hAnsi="Times New Roman;sans-serif"/>
          <w:b w:val="false"/>
          <w:color w:val="000000"/>
          <w:sz w:val="22"/>
        </w:rPr>
        <w:t xml:space="preserve">: as at any date of determination, a cumulative amount equal to, without duplication, (a) commencing after the end of the fiscal year ending December 31, 2025, the amount of Excess Cash Flow for each full fiscal year after the Closing Date not applied to make a prepayment pursuant to Section 2.12(d) (excluding the amount of any reduction in Excess Cash Flow pursuant to Section 2.12(d) resulting from a voluntary prepayment),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(b) the aggregate amount of capital contributions to the capital of the Borrower made after the Closing Date and prior to such date of determination in cash or Cash Equivalents (other than with respect to Disqualified Stock or pursuant to a Specified Equity Contribution),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(c) the net cash proceeds received by the Borrower after the Closing Date (and prior to such date of determination) from issuances or sales of its Capital Stock (that is not Disqualified Stock), other than with respect to Specified Equity Contributions,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(d) cash returns, profits, cash distributions and similar amounts received in cash or Cash Equivalents by the Borrower and its Subsidiaries after the Closing Date and prior to such date of determination on Investments made using the Available Amount not in excess of such Investments made with the Available Amount,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(e) any Declined Amounts after the Closing Date and prior to such date of determination,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(f) amounts received by the Borrower or any of its Subsidiaries after the Closing Date and prior to such date of determination in cash from the sale of the Capital Stock of any joint venture or any dividends or other distributions by any joint venture, in each case with respect to this clause (f), to the extent such equity interests or dividend are from an Investment made with the Available Amount not in excess of such Investments made pursuant to Section 7.8(s), in each case with respect to the preceding clauses (a) through (f) to the extent not otherwise applied to a purpose permitted under this Agreement or relied upon under any other section or definition of this Agreement,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 xml:space="preserve">(g) the aggregate amount of any Restricted Payments actually made pursuant to Section 7.6(l) after the Closing Date and prior to such date of determination,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(h) the aggregate amount of any Investments actually made pursuant to Section 7.8(s) after the Closing Date and prior to such date of determination.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Available Incremental Amount</w:t>
      </w:r>
      <w:r>
        <w:rPr>
          <w:color w:val="000000"/>
        </w:rPr>
        <w:t>”</w:t>
      </w:r>
      <w:r>
        <w:rPr>
          <w:rFonts w:ascii="Times New Roman;sans-serif" w:hAnsi="Times New Roman;sans-serif"/>
          <w:b w:val="false"/>
          <w:color w:val="000000"/>
          <w:sz w:val="22"/>
        </w:rPr>
        <w:t xml:space="preserve">: as of any date of determination, an amount equal to (a) $75,000,000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 xml:space="preserve">(b) the aggregate principal amount of Incremental Facilities previously incurred pursuant to Section 2.27.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Available Tenor</w:t>
      </w:r>
      <w:r>
        <w:rPr>
          <w:color w:val="000000"/>
        </w:rPr>
        <w:t>”</w:t>
      </w:r>
      <w:r>
        <w:rPr>
          <w:rFonts w:ascii="Times New Roman;sans-serif" w:hAnsi="Times New Roman;sans-serif"/>
          <w:b w:val="false"/>
          <w:color w:val="000000"/>
          <w:sz w:val="22"/>
        </w:rPr>
        <w:t xml:space="preserve">: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60705"/>
                <wp:effectExtent l="0" t="0" r="0" b="0"/>
                <wp:wrapNone/>
                <wp:docPr id="122" name="Frame12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(or component thereof), as applicable,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2.17(c)(iv).</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Average Market Capitalization</w:t>
      </w:r>
      <w:r>
        <w:rPr>
          <w:color w:val="000000"/>
        </w:rPr>
        <w:t>”</w:t>
      </w:r>
      <w:r>
        <w:rPr>
          <w:rFonts w:ascii="Times New Roman;sans-serif" w:hAnsi="Times New Roman;sans-serif"/>
          <w:b w:val="false"/>
          <w:color w:val="000000"/>
          <w:sz w:val="22"/>
        </w:rPr>
        <w:t>: with respect to the Borrower, as of any date of determination, its market capitalization determined based on the arithmetic average of the closing price per share of the Borrower’s common stock listed or quoted for trading on The NASDAQ Global Select Market (or any other applicable national securities exchange (including any successor thereto)) measured over a thirty (30) consecutive trading days period (on which shares of common stock of the Borrower are traded) immediately preceding such date of determination.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Bail-In Action</w:t>
      </w:r>
      <w:r>
        <w:rPr>
          <w:color w:val="000000"/>
        </w:rPr>
        <w:t>”</w:t>
      </w:r>
      <w:r>
        <w:rPr>
          <w:rFonts w:ascii="Times New Roman;sans-serif" w:hAnsi="Times New Roman;sans-serif"/>
          <w:b w:val="false"/>
          <w:color w:val="000000"/>
          <w:sz w:val="22"/>
        </w:rPr>
        <w:t>: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Bail-in Legislation</w:t>
      </w:r>
      <w:r>
        <w:rPr>
          <w:color w:val="000000"/>
        </w:rPr>
        <w:t>”</w:t>
      </w:r>
      <w:r>
        <w:rPr>
          <w:rFonts w:ascii="Times New Roman;sans-serif" w:hAnsi="Times New Roman;sans-serif"/>
          <w:b w:val="false"/>
          <w:color w:val="000000"/>
          <w:sz w:val="22"/>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Bankruptcy Code</w:t>
      </w:r>
      <w:r>
        <w:rPr>
          <w:color w:val="000000"/>
        </w:rPr>
        <w:t>”</w:t>
      </w:r>
      <w:r>
        <w:rPr>
          <w:rFonts w:ascii="Times New Roman;sans-serif" w:hAnsi="Times New Roman;sans-serif"/>
          <w:b w:val="false"/>
          <w:color w:val="000000"/>
          <w:sz w:val="22"/>
        </w:rPr>
        <w:t>: Title 11 of the United States Code entitled “Bankruptcy.”</w:t>
      </w:r>
    </w:p>
    <w:p>
      <w:pPr>
        <w:pStyle w:val="TextBody"/>
        <w:bidi w:val="0"/>
        <w:spacing w:lineRule="auto" w:line="288" w:before="0" w:after="240"/>
        <w:ind w:left="0" w:right="0" w:firstLine="720"/>
        <w:jc w:val="both"/>
        <w:rPr/>
      </w:pPr>
      <w:r>
        <w:rPr>
          <w:color w:val="231F20"/>
        </w:rPr>
        <w:t>“</w:t>
      </w:r>
      <w:r>
        <w:rPr>
          <w:rFonts w:ascii="Times New Roman;sans-serif" w:hAnsi="Times New Roman;sans-serif"/>
          <w:b/>
          <w:i/>
          <w:color w:val="231F20"/>
          <w:sz w:val="22"/>
        </w:rPr>
        <w:t>Benchmark</w:t>
      </w:r>
      <w:r>
        <w:rPr>
          <w:color w:val="231F20"/>
        </w:rPr>
        <w:t>”</w:t>
      </w:r>
      <w:r>
        <w:rPr>
          <w:rFonts w:ascii="Times New Roman;sans-serif" w:hAnsi="Times New Roman;sans-serif"/>
          <w:b w:val="false"/>
          <w:color w:val="231F20"/>
          <w:sz w:val="22"/>
        </w:rPr>
        <w:t xml:space="preserve">: initially, </w:t>
      </w:r>
      <w:r>
        <w:rPr>
          <w:rFonts w:ascii="Times New Roman;sans-serif" w:hAnsi="Times New Roman;sans-serif"/>
          <w:b w:val="false"/>
          <w:color w:val="000000"/>
          <w:sz w:val="22"/>
        </w:rPr>
        <w:t xml:space="preserve">the Term SOFR Reference Rate;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if a Benchmark Transition Event and its related Benchmark Replacement Date have occurred with respect to the Term SOFR Reference Rate or the then-current Benchmark, then “Benchmark” means the applicable Benchmark Replacement to the extent that such Benchmark Replacement has replaced such prior benchmark rate pursuant to Section 2.17(c)(i). Any reference to “Benchmark” shall include, as applicable, the published component used in the calculation thereof.</w:t>
      </w:r>
    </w:p>
    <w:p>
      <w:pPr>
        <w:pStyle w:val="TextBody"/>
        <w:bidi w:val="0"/>
        <w:spacing w:lineRule="auto" w:line="285" w:before="129" w:after="240"/>
        <w:ind w:left="0" w:right="0" w:firstLine="720"/>
        <w:jc w:val="both"/>
        <w:rPr/>
      </w:pPr>
      <w:r>
        <w:rPr>
          <w:color w:val="000000"/>
        </w:rPr>
        <w:t>“</w:t>
      </w:r>
      <w:r>
        <w:rPr>
          <w:rFonts w:ascii="Times New Roman;sans-serif" w:hAnsi="Times New Roman;sans-serif"/>
          <w:b/>
          <w:i/>
          <w:color w:val="000000"/>
          <w:sz w:val="22"/>
        </w:rPr>
        <w:t>Benchmark Replacement</w:t>
      </w:r>
      <w:r>
        <w:rPr>
          <w:color w:val="000000"/>
        </w:rPr>
        <w:t>”</w:t>
      </w:r>
      <w:r>
        <w:rPr>
          <w:rFonts w:ascii="Times New Roman;sans-serif" w:hAnsi="Times New Roman;sans-serif"/>
          <w:b w:val="false"/>
          <w:color w:val="000000"/>
          <w:sz w:val="22"/>
        </w:rPr>
        <w:t>: for any Available Tenor, the first alternative set forth in the order below that can be determined by the Administrative Agent for the applicable Benchmark Replacement Date: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Daily Simple SOFR; 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and any adjustment applicable thereto, as a replacement to the then-current Benchmark for Dollar-denominated syndicated credit facilities at such time and (ii) the related Benchmark Replacement Adjustment;</w:t>
      </w:r>
    </w:p>
    <w:p>
      <w:pPr>
        <w:pStyle w:val="TextBody"/>
        <w:bidi w:val="0"/>
        <w:spacing w:lineRule="auto" w:line="288" w:before="0" w:after="240"/>
        <w:jc w:val="both"/>
        <w:rPr/>
      </w:pP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any such Benchmark Replacement shall be administratively feasible as determined by the Administrative Agent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60705"/>
                <wp:effectExtent l="0" t="0" r="0" b="0"/>
                <wp:wrapNone/>
                <wp:docPr id="123" name="Frame12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5" w:before="121" w:after="240"/>
        <w:ind w:left="0" w:right="0" w:firstLine="600"/>
        <w:jc w:val="both"/>
        <w:rPr>
          <w:rFonts w:ascii="Times New Roman;sans-serif" w:hAnsi="Times New Roman;sans-serif"/>
          <w:b w:val="false"/>
          <w:color w:val="000000"/>
          <w:sz w:val="22"/>
        </w:rPr>
      </w:pPr>
      <w:r>
        <w:rPr>
          <w:rFonts w:ascii="Times New Roman;sans-serif" w:hAnsi="Times New Roman;sans-serif"/>
          <w:b w:val="false"/>
          <w:color w:val="000000"/>
          <w:sz w:val="22"/>
        </w:rPr>
        <w:t>If the Benchmark Replacement as determined pursuant to clause (a) or (b) above would be less than the Floor, then, solely with respect to the Initial Loans and the Delayed Draw Loans, such Benchmark Replacement will be deemed to be the Floor for the purposes of this Agreement and the other Loan Documents.</w:t>
      </w:r>
    </w:p>
    <w:p>
      <w:pPr>
        <w:pStyle w:val="TextBody"/>
        <w:bidi w:val="0"/>
        <w:spacing w:lineRule="auto" w:line="285" w:before="121" w:after="240"/>
        <w:ind w:left="0" w:right="0" w:firstLine="600"/>
        <w:jc w:val="both"/>
        <w:rPr/>
      </w:pPr>
      <w:r>
        <w:rPr>
          <w:color w:val="000000"/>
        </w:rPr>
        <w:t>“</w:t>
      </w:r>
      <w:r>
        <w:rPr>
          <w:rFonts w:ascii="Times New Roman;sans-serif" w:hAnsi="Times New Roman;sans-serif"/>
          <w:b/>
          <w:i/>
          <w:color w:val="000000"/>
          <w:sz w:val="22"/>
        </w:rPr>
        <w:t>Benchmark Replacement Adjustment</w:t>
      </w:r>
      <w:r>
        <w:rPr>
          <w:color w:val="000000"/>
        </w:rPr>
        <w:t>”</w:t>
      </w:r>
      <w:r>
        <w:rPr>
          <w:rFonts w:ascii="Times New Roman;sans-serif" w:hAnsi="Times New Roman;sans-serif"/>
          <w:b w:val="false"/>
          <w:color w:val="000000"/>
          <w:sz w:val="22"/>
        </w:rPr>
        <w:t xml:space="preserve">: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w:t>
      </w:r>
    </w:p>
    <w:p>
      <w:pPr>
        <w:pStyle w:val="TextBody"/>
        <w:bidi w:val="0"/>
        <w:spacing w:lineRule="auto" w:line="285" w:before="129" w:after="240"/>
        <w:ind w:left="0" w:right="0" w:firstLine="720"/>
        <w:jc w:val="both"/>
        <w:rPr/>
      </w:pPr>
      <w:r>
        <w:rPr>
          <w:color w:val="000000"/>
        </w:rPr>
        <w:t>“</w:t>
      </w:r>
      <w:r>
        <w:rPr>
          <w:rFonts w:ascii="Times New Roman;sans-serif" w:hAnsi="Times New Roman;sans-serif"/>
          <w:b/>
          <w:i/>
          <w:color w:val="000000"/>
          <w:sz w:val="22"/>
        </w:rPr>
        <w:t>Benchmark Replacement Date</w:t>
      </w:r>
      <w:r>
        <w:rPr>
          <w:color w:val="000000"/>
        </w:rPr>
        <w:t>”</w:t>
      </w:r>
      <w:r>
        <w:rPr>
          <w:rFonts w:ascii="Times New Roman;sans-serif" w:hAnsi="Times New Roman;sans-serif"/>
          <w:b w:val="false"/>
          <w:color w:val="000000"/>
          <w:sz w:val="22"/>
        </w:rPr>
        <w:t>: the earliest to occur of the following events with respect to the then-current Benchmark:</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5" w:before="129" w:after="240"/>
        <w:ind w:left="0" w:right="0" w:firstLine="1440"/>
        <w:jc w:val="both"/>
        <w:rPr/>
      </w:pPr>
      <w:r>
        <w:rPr>
          <w:rFonts w:ascii="Times New Roman;sans-serif" w:hAnsi="Times New Roman;sans-serif"/>
          <w:b w:val="false"/>
          <w:color w:val="000000"/>
          <w:sz w:val="22"/>
        </w:rPr>
        <w:t xml:space="preserve">(b)    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such non-representativeness will be determined by reference to the most recent statement or publication referenced in such clause (c), even if any Available Tenor of such Benchmark (or such component thereof) continues to be provided on such date.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Benchmark Transition Event</w:t>
      </w:r>
      <w:r>
        <w:rPr>
          <w:color w:val="000000"/>
        </w:rPr>
        <w:t>”</w:t>
      </w:r>
      <w:r>
        <w:rPr>
          <w:rFonts w:ascii="Times New Roman;sans-serif" w:hAnsi="Times New Roman;sans-serif"/>
          <w:b w:val="false"/>
          <w:color w:val="000000"/>
          <w:sz w:val="22"/>
        </w:rPr>
        <w:t>: the occurrence of one or more of the following events with respect to the then-current Benchmark:</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at the time of such statement or publication, there is no successor administrator that will continue to provide any Available Tenor of such Benchmark (or such component thereof);</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a public statement or publication of information by the regulatory supervisor for the administrator of such Benchmark (or the published component used in the calculation thereof), the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60705"/>
                <wp:effectExtent l="0" t="0" r="0" b="0"/>
                <wp:wrapNone/>
                <wp:docPr id="124" name="Frame12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at the time of such statement or publication, there is no successor administrator that will continue to provide any Available Tenor of such Benchmark (or such component thereof); 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Benchmark Unavailability Period</w:t>
      </w:r>
      <w:r>
        <w:rPr>
          <w:color w:val="000000"/>
        </w:rPr>
        <w:t>”</w:t>
      </w:r>
      <w:r>
        <w:rPr>
          <w:rFonts w:ascii="Times New Roman;sans-serif" w:hAnsi="Times New Roman;sans-serif"/>
          <w:b w:val="false"/>
          <w:color w:val="000000"/>
          <w:sz w:val="22"/>
        </w:rPr>
        <w:t>: the period (if any) (a) beginning at the time that a Benchmark Replacement Date has occurred if, at such time, no Benchmark Replacement has replaced the then-current Benchmark for all purposes hereunder and under any Loan Document in accordance with Section 2.17(c)(i) and (b) ending at the time that a Benchmark Replacement has replaced the then-current Benchmark for all purposes hereunder and under any Loan Document in accordance with Section 2.17(c)(i).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Benefit Plan</w:t>
      </w:r>
      <w:r>
        <w:rPr>
          <w:color w:val="000000"/>
        </w:rPr>
        <w:t>”</w:t>
      </w:r>
      <w:r>
        <w:rPr>
          <w:rFonts w:ascii="Times New Roman;sans-serif" w:hAnsi="Times New Roman;sans-serif"/>
          <w:b w:val="false"/>
          <w:color w:val="000000"/>
          <w:sz w:val="22"/>
        </w:rPr>
        <w:t>: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Benefitted Lender</w:t>
      </w:r>
      <w:r>
        <w:rPr>
          <w:color w:val="000000"/>
        </w:rPr>
        <w:t>”</w:t>
      </w:r>
      <w:r>
        <w:rPr>
          <w:rFonts w:ascii="Times New Roman;sans-serif" w:hAnsi="Times New Roman;sans-serif"/>
          <w:b w:val="false"/>
          <w:color w:val="000000"/>
          <w:sz w:val="22"/>
        </w:rPr>
        <w:t>: is defined in Section 10.7(a).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the Board of Governors of the Federal Reserve System of the United States (or any successor).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Borrower</w:t>
      </w:r>
      <w:r>
        <w:rPr>
          <w:color w:val="000000"/>
        </w:rPr>
        <w:t>”</w:t>
      </w:r>
      <w:r>
        <w:rPr>
          <w:rFonts w:ascii="Times New Roman;sans-serif" w:hAnsi="Times New Roman;sans-serif"/>
          <w:b w:val="false"/>
          <w:color w:val="000000"/>
          <w:sz w:val="22"/>
        </w:rPr>
        <w:t>: is defined in the preamble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Borrowing Date</w:t>
      </w:r>
      <w:r>
        <w:rPr>
          <w:color w:val="000000"/>
        </w:rPr>
        <w:t>”</w:t>
      </w:r>
      <w:r>
        <w:rPr>
          <w:rFonts w:ascii="Times New Roman;sans-serif" w:hAnsi="Times New Roman;sans-serif"/>
          <w:b w:val="false"/>
          <w:color w:val="000000"/>
          <w:sz w:val="22"/>
        </w:rPr>
        <w:t>: any Business Day specified by the Borrower in a Notice of Borrowing as a date on which the Borrower requests the relevant Lenders to make Loans 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Business</w:t>
      </w:r>
      <w:r>
        <w:rPr>
          <w:color w:val="000000"/>
        </w:rPr>
        <w:t>”</w:t>
      </w:r>
      <w:r>
        <w:rPr>
          <w:rFonts w:ascii="Times New Roman;sans-serif" w:hAnsi="Times New Roman;sans-serif"/>
          <w:b w:val="false"/>
          <w:color w:val="000000"/>
          <w:sz w:val="22"/>
        </w:rPr>
        <w:t>: is defined in Section 4.17(b).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Business Day</w:t>
      </w:r>
      <w:r>
        <w:rPr>
          <w:color w:val="000000"/>
        </w:rPr>
        <w:t>”</w:t>
      </w:r>
      <w:r>
        <w:rPr>
          <w:rFonts w:ascii="Times New Roman;sans-serif" w:hAnsi="Times New Roman;sans-serif"/>
          <w:b w:val="false"/>
          <w:color w:val="000000"/>
          <w:sz w:val="22"/>
        </w:rPr>
        <w:t>: any day other than a Saturday, Sunday or day on which banks in New York, New York are authorized or required by law to close.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Capital Lease Obligations</w:t>
      </w:r>
      <w:r>
        <w:rPr>
          <w:color w:val="000000"/>
        </w:rPr>
        <w:t>”</w:t>
      </w:r>
      <w:r>
        <w:rPr>
          <w:rFonts w:ascii="Times New Roman;sans-serif" w:hAnsi="Times New Roman;sans-serif"/>
          <w:b w:val="false"/>
          <w:color w:val="000000"/>
          <w:sz w:val="22"/>
        </w:rPr>
        <w:t xml:space="preserve">: as to any Person, the obligations of such Person to pay rent or other amounts under any lease of (or other arrangement conveying the right to use) real or personal property, or a combination thereof, which obligations are required to be classified and accounted for as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60705"/>
                <wp:effectExtent l="0" t="0" r="0" b="0"/>
                <wp:wrapNone/>
                <wp:docPr id="125" name="Frame12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capital leases or finance leases on a balance sheet of such Person under GAAP and, for the purposes of this Agreement, the amount of such obligations at any time shall be the capitalized amount thereof at such time determined in accordance with GAAP;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any obligations that are or would be characterized as operating lease obligations in accordance with GAAP on December 1, 2018 (without giving effect to Accounting Standards Codification 842), whether or not such operating lease obligations were in effect on such date, shall, unless the Borrower elects otherwise, continue to be accounted for as operating lease obligations (and not as Capital Lease Obligations) for purposes of the Loan Documents regardless of any change in GAAP following such date that would otherwise require such obligations to be re-characterized (on a prospective or retroactive basis or otherwise) as Capital Lease Obligations.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Capital Stock</w:t>
      </w:r>
      <w:r>
        <w:rPr>
          <w:color w:val="000000"/>
        </w:rPr>
        <w:t>”</w:t>
      </w:r>
      <w:r>
        <w:rPr>
          <w:rFonts w:ascii="Times New Roman;sans-serif" w:hAnsi="Times New Roman;sans-serif"/>
          <w:b w:val="false"/>
          <w:color w:val="000000"/>
          <w:sz w:val="22"/>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Captive Insurance Subsidiary</w:t>
      </w:r>
      <w:r>
        <w:rPr>
          <w:color w:val="000000"/>
        </w:rPr>
        <w:t>”</w:t>
      </w:r>
      <w:r>
        <w:rPr>
          <w:rFonts w:ascii="Times New Roman;sans-serif" w:hAnsi="Times New Roman;sans-serif"/>
          <w:b w:val="false"/>
          <w:color w:val="000000"/>
          <w:sz w:val="22"/>
        </w:rPr>
        <w:t>: any Subsidiary that is subject to regulation as an insurance company (or any Subsidiary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Carevive Acquisition</w:t>
      </w:r>
      <w:r>
        <w:rPr>
          <w:color w:val="000000"/>
        </w:rPr>
        <w:t>”</w:t>
      </w:r>
      <w:r>
        <w:rPr>
          <w:rFonts w:ascii="Times New Roman;sans-serif" w:hAnsi="Times New Roman;sans-serif"/>
          <w:b w:val="false"/>
          <w:color w:val="000000"/>
          <w:sz w:val="22"/>
        </w:rPr>
        <w:t>: the acquisition by Borrower of Carevive Systems, LLC (successor by merger to Carevive Systems, Inc.), a Delaware limited liability company, pursuant to that certain Agreement and Plan of Merger dated as of May 23, 2024 (as amended, restated, amended and restated, supplemented or otherwise modified from time to time), by and among the Borrower, Greylock Merger Sub II, LLC, a Delaware limited liability company, Carevive Systems, Inc., a Delaware corporation, and certain other parties party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Carevive Earnout</w:t>
      </w:r>
      <w:r>
        <w:rPr>
          <w:color w:val="000000"/>
        </w:rPr>
        <w:t>”</w:t>
      </w:r>
      <w:r>
        <w:rPr>
          <w:rFonts w:ascii="Times New Roman;sans-serif" w:hAnsi="Times New Roman;sans-serif"/>
          <w:b w:val="false"/>
          <w:color w:val="000000"/>
          <w:sz w:val="22"/>
        </w:rPr>
        <w:t>: any Deferred Payment Obligations in connection with the Carevive Acquisition (it being understood that the aggregate amount of the Carevive Earnout, assuming all contingent events are satisfied, shall not exceed $10,000,000).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Cash Equivalents</w:t>
      </w:r>
      <w:r>
        <w:rPr>
          <w:color w:val="000000"/>
        </w:rPr>
        <w:t>”</w:t>
      </w:r>
      <w:r>
        <w:rPr>
          <w:rFonts w:ascii="Times New Roman;sans-serif" w:hAnsi="Times New Roman;sans-serif"/>
          <w:b w:val="false"/>
          <w:color w:val="000000"/>
          <w:sz w:val="22"/>
        </w:rPr>
        <w:t xml:space="preserve">: (a) Dollars or money in foreign currencies received in the ordinary course of business that are readily convertible into Dollars; (b) marketable direct obligations issued by, or unconditionally guaranteed by, the United States Government or issued by any agency thereof and backed by the full faith and credit of the United States, in each case maturing within one year from the date of acquisition; (c) certificates of deposit, time deposits, eurodollar time deposits or overnight bank deposits having maturities of six months or less from the date of acquisition issued by any Lender or by any commercial bank organized under the laws of the United States or any state thereof having combined capital and surplus of not less than $250,000,000; (d) commercial paper of an issuer rated at least A-1 by S&amp;P or P-1 by Moody’s, or carrying an equivalent rating by a nationally recognized rating agency, if both of the two named rating agencies cease publishing ratings of commercial paper issuers generally, and maturing within six months from the date of acquisition; (e) repurchase obligations of any Lender or of any commercial bank satisfying the requirements of clause (c) of this definition, having a term of not more than 30 days, with respect to securities issued or fully guaranteed or insured by the United States government; (f)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(g) securities with maturities of six months or less from the date of acquisition backed by standby letters of credit issued by any Lender or any commercial bank satisfying the requirements of clause (c) of this definition; (h) money market mutual or similar funds that invest exclusively in assets satisfying the requirements of clauses (a) through (g) of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60705"/>
                <wp:effectExtent l="0" t="0" r="0" b="0"/>
                <wp:wrapNone/>
                <wp:docPr id="126" name="Frame12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this definition; or (i) money market funds that (i) comply with the criteria set forth in SEC Rule 2a-7 under the Investment Company Act of 1940, as amended, (ii) are rated AAA by S&amp;P and Aaa by Moody’s and (iii) have portfolio assets of at least $5,000,000,000; (j) in the case of any Group Member organized or having its principal place of business outside the United States, investments denominated in the currency of the jurisdiction in which such Group Member is organized or has its principal place of business which are similar and of comparable credit quality to the items specified in clauses (b) through (i) above; or (k) until the Disposition or the respective maturities thereof, the Existing Investments;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with respect to any items above with a ratings requirement (a “</w:t>
      </w:r>
      <w:r>
        <w:rPr>
          <w:rFonts w:ascii="Times New Roman;sans-serif" w:hAnsi="Times New Roman;sans-serif"/>
          <w:b/>
          <w:i/>
          <w:color w:val="000000"/>
          <w:sz w:val="22"/>
        </w:rPr>
        <w:t>Ratings Based Investment</w:t>
      </w:r>
      <w:r>
        <w:rPr>
          <w:color w:val="000000"/>
        </w:rPr>
        <w:t>”</w:t>
      </w:r>
      <w:r>
        <w:rPr>
          <w:rFonts w:ascii="Times New Roman;sans-serif" w:hAnsi="Times New Roman;sans-serif"/>
          <w:b w:val="false"/>
          <w:color w:val="000000"/>
          <w:sz w:val="22"/>
        </w:rPr>
        <w:t>), any such Ratings Based Investment which fails to meet the applicable ratings requirement above after the date of purchase or investment shall continue to be deemed “Cash Equivalents” so long as within ten (10) Business Days after such failure, the applicable Loan Party transfers or converts such Rating Based Investment into an item satisfying one or more of clauses (a) through (j) above (it being understood that if the applicable Loan Party fails to transfer or convert such Ratings Based Investment within such 10 Business Day period such Rating Based Investment will no longer constitute a Cash Equivalent).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Cash Management Services</w:t>
      </w:r>
      <w:r>
        <w:rPr>
          <w:color w:val="000000"/>
        </w:rPr>
        <w:t>”</w:t>
      </w:r>
      <w:r>
        <w:rPr>
          <w:rFonts w:ascii="Times New Roman;sans-serif" w:hAnsi="Times New Roman;sans-serif"/>
          <w:b w:val="false"/>
          <w:color w:val="000000"/>
          <w:sz w:val="22"/>
        </w:rPr>
        <w:t xml:space="preserve">: cash management and other customary treasury financial services provided to one or more of the Group Members, which may include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merchant services, direct deposit of payroll, business credit card (including so-called “purchase cards”, “procurement cards” or “p-cards”), credit card processing services, debit cards, stored value cards, check cashing services, or other similar agreements.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Casualty Event</w:t>
      </w:r>
      <w:r>
        <w:rPr>
          <w:color w:val="000000"/>
        </w:rPr>
        <w:t>”</w:t>
      </w:r>
      <w:r>
        <w:rPr>
          <w:rFonts w:ascii="Times New Roman;sans-serif" w:hAnsi="Times New Roman;sans-serif"/>
          <w:b w:val="false"/>
          <w:color w:val="000000"/>
          <w:sz w:val="22"/>
        </w:rPr>
        <w:t>: any damage to or any destruction of, or any condemnation or other taking by any Governmental Authority of any property of the Group Members.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Certificated Securities</w:t>
      </w:r>
      <w:r>
        <w:rPr>
          <w:color w:val="000000"/>
        </w:rPr>
        <w:t>”</w:t>
      </w:r>
      <w:r>
        <w:rPr>
          <w:rFonts w:ascii="Times New Roman;sans-serif" w:hAnsi="Times New Roman;sans-serif"/>
          <w:b w:val="false"/>
          <w:color w:val="000000"/>
          <w:sz w:val="22"/>
        </w:rPr>
        <w:t>: is defined in Section 4.19(a).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Change of Control</w:t>
      </w:r>
      <w:r>
        <w:rPr>
          <w:color w:val="000000"/>
        </w:rPr>
        <w:t>”</w:t>
      </w:r>
      <w:r>
        <w:rPr>
          <w:rFonts w:ascii="Times New Roman;sans-serif" w:hAnsi="Times New Roman;sans-serif"/>
          <w:b w:val="false"/>
          <w:color w:val="000000"/>
          <w:sz w:val="22"/>
        </w:rPr>
        <w:t>: (a) at any time, any “person” or “group” (as such terms are used in Sections 13(d) and 14(d) of the Exchange Act), excluding any employee benefit plan of such person or its Subsidiaries and any Person acting in its capacity as trustee, agent or other fiduciary or administrator of any such plan, shall become, or obtain rights (whether by means or warrants, options or otherwise) to become, the “beneficial owner” (as defined in Rules 13(d)-3 and 13(d) 5 under the Exchange Act), directly or indirectly, of 40%</w:t>
      </w:r>
      <w:r>
        <w:rPr>
          <w:color w:val="000000"/>
        </w:rPr>
        <w:t xml:space="preserve"> </w:t>
      </w:r>
      <w:r>
        <w:rPr>
          <w:rFonts w:ascii="Times New Roman;sans-serif" w:hAnsi="Times New Roman;sans-serif"/>
          <w:b w:val="false"/>
          <w:color w:val="000000"/>
          <w:sz w:val="22"/>
        </w:rPr>
        <w:t>or more of the voting power for the appointment of directors of the Borrower (determined on a fully diluted basis) or (b) during any period of twelve (12) consecutive months commencing on the Closing Date, a majority of the members of the board of directors of the Borrower cease to be composed of individuals (disregarding individuals who cease to serve due to death or disability) (i) who were members of that board on the first day of such period, (ii) whose appointment to that board was approved by individuals referred to in clause (i) above constituting at the time of such appointment at least a majority of that board or (iii) whose appointment to that board was approved by individuals referred to in clauses (i) or (ii) above or this clause (iii) constituting at the time of such appointment at least a majority of that board (in each case, such approval either by a specific vote or by approval of the Borrower’s proxy or information statement in which such member was named as a nominee for election as a director).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Closing Date</w:t>
      </w:r>
      <w:r>
        <w:rPr>
          <w:color w:val="000000"/>
        </w:rPr>
        <w:t>”</w:t>
      </w:r>
      <w:r>
        <w:rPr>
          <w:rFonts w:ascii="Times New Roman;sans-serif" w:hAnsi="Times New Roman;sans-serif"/>
          <w:b w:val="false"/>
          <w:color w:val="000000"/>
          <w:sz w:val="22"/>
        </w:rPr>
        <w:t xml:space="preserve">: the date on which all of the conditions precedent set forth in Section 5.1 are satisfied or waived by the Administrative Agent and, as applicable, the Lenders or the Required Lenders. For the avoidance of doubt, the Closing Date occurred on July 16, 2024.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60705"/>
                <wp:effectExtent l="0" t="0" r="0" b="0"/>
                <wp:wrapNone/>
                <wp:docPr id="127" name="Frame12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Closing Date Facilities</w:t>
      </w:r>
      <w:r>
        <w:rPr>
          <w:color w:val="000000"/>
        </w:rPr>
        <w:t>”</w:t>
      </w:r>
      <w:r>
        <w:rPr>
          <w:rFonts w:ascii="Times New Roman;sans-serif" w:hAnsi="Times New Roman;sans-serif"/>
          <w:b w:val="false"/>
          <w:color w:val="000000"/>
          <w:sz w:val="22"/>
        </w:rPr>
        <w:t xml:space="preserve">: means the Initial Term Commitments (and the Initial Loans made thereunder), the Delayed Draw A Commitments (and the Delayed Draw A Loans made thereunder), and the Delayed Draw B Commitments (and the Delayed Draw B Loans made thereunder).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Closing Date Transaction C</w:t>
      </w:r>
      <w:r>
        <w:rPr>
          <w:rFonts w:ascii="Times New Roman;sans-serif" w:hAnsi="Times New Roman;sans-serif"/>
          <w:b/>
          <w:color w:val="000000"/>
          <w:sz w:val="22"/>
        </w:rPr>
        <w:t>osts</w:t>
      </w:r>
      <w:r>
        <w:rPr>
          <w:color w:val="000000"/>
        </w:rPr>
        <w:t>”</w:t>
      </w:r>
      <w:r>
        <w:rPr>
          <w:rFonts w:ascii="Times New Roman;sans-serif" w:hAnsi="Times New Roman;sans-serif"/>
          <w:b w:val="false"/>
          <w:color w:val="000000"/>
          <w:sz w:val="22"/>
        </w:rPr>
        <w:t>: the fees, costs and expenses paid or payable by the Borrower or the Subsidiaries in connection with the Closing Date Transactions.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Closing Date Transactions</w:t>
      </w:r>
      <w:r>
        <w:rPr>
          <w:color w:val="000000"/>
        </w:rPr>
        <w:t>”</w:t>
      </w:r>
      <w:r>
        <w:rPr>
          <w:rFonts w:ascii="Times New Roman;sans-serif" w:hAnsi="Times New Roman;sans-serif"/>
          <w:b w:val="false"/>
          <w:color w:val="000000"/>
          <w:sz w:val="22"/>
        </w:rPr>
        <w:t>: the negotiation and execution of the Loan Documents, the Initial Credit Extension, the payment of the Closing Date Transaction Costs, and the other transactions consummated (or to be consummated) on or about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Code</w:t>
      </w:r>
      <w:r>
        <w:rPr>
          <w:color w:val="000000"/>
        </w:rPr>
        <w:t>”</w:t>
      </w:r>
      <w:r>
        <w:rPr>
          <w:rFonts w:ascii="Times New Roman;sans-serif" w:hAnsi="Times New Roman;sans-serif"/>
          <w:b w:val="false"/>
          <w:color w:val="000000"/>
          <w:sz w:val="22"/>
        </w:rPr>
        <w:t>: the Internal Revenue Code of 1986, as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Collateral</w:t>
      </w:r>
      <w:r>
        <w:rPr>
          <w:color w:val="000000"/>
        </w:rPr>
        <w:t>”</w:t>
      </w:r>
      <w:r>
        <w:rPr>
          <w:rFonts w:ascii="Times New Roman;sans-serif" w:hAnsi="Times New Roman;sans-serif"/>
          <w:b w:val="false"/>
          <w:color w:val="000000"/>
          <w:sz w:val="22"/>
        </w:rPr>
        <w:t>: all property of the Loan Parties, now owned or hereafter acquired, upon which a Lien is purported to be created by any Security Document. For the avoidance of doubt, no Excluded Asset shall constitute “Collateral.”</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Collateral-Related Expenses</w:t>
      </w:r>
      <w:r>
        <w:rPr>
          <w:color w:val="000000"/>
        </w:rPr>
        <w:t>”</w:t>
      </w:r>
      <w:r>
        <w:rPr>
          <w:rFonts w:ascii="Times New Roman;sans-serif" w:hAnsi="Times New Roman;sans-serif"/>
          <w:b w:val="false"/>
          <w:color w:val="000000"/>
          <w:sz w:val="22"/>
        </w:rPr>
        <w:t>: all costs and expenses of the Administrative Agent paid or incurred in connection with any sale, collection or other realization on the Collateral, including reimbursement in accordance with Section 10.5 hereof or as set forth in the applicable Security Document for costs, expenses and liabilities and advances made or incurred by the Administrative Agent in connection therewith (including as described in Section 6.6 of the Guarantee and Collateral Agreement), and all amounts for which the Administrative Agent is entitled to indemnification under the Security Documents and all advances made by the Administrative Agent in accordance with the Security Documents for the account of any Loan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Commitment</w:t>
      </w:r>
      <w:r>
        <w:rPr>
          <w:color w:val="000000"/>
        </w:rPr>
        <w:t>”</w:t>
      </w:r>
      <w:r>
        <w:rPr>
          <w:rFonts w:ascii="Times New Roman;sans-serif" w:hAnsi="Times New Roman;sans-serif"/>
          <w:b w:val="false"/>
          <w:color w:val="000000"/>
          <w:sz w:val="22"/>
        </w:rPr>
        <w:t>: as to any Lender, its Initial Commitment, its Delayed Draw A Commitment, its Delayed Draw B Commitment and/or its Incremental Commitment, as the context may require.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Commodity Exchange Act</w:t>
      </w:r>
      <w:r>
        <w:rPr>
          <w:color w:val="000000"/>
        </w:rPr>
        <w:t>”</w:t>
      </w:r>
      <w:r>
        <w:rPr>
          <w:rFonts w:ascii="Times New Roman;sans-serif" w:hAnsi="Times New Roman;sans-serif"/>
          <w:b w:val="false"/>
          <w:color w:val="000000"/>
          <w:sz w:val="22"/>
        </w:rPr>
        <w:t xml:space="preserve">: the Commodity Exchange Act (7 U.S.C. Section 1 </w:t>
      </w:r>
      <w:r>
        <w:rPr>
          <w:rFonts w:ascii="Times New Roman;sans-serif" w:hAnsi="Times New Roman;sans-serif"/>
          <w:b w:val="false"/>
          <w:i/>
          <w:color w:val="000000"/>
          <w:sz w:val="22"/>
        </w:rPr>
        <w:t>et seq.</w:t>
      </w:r>
      <w:r>
        <w:rPr>
          <w:rFonts w:ascii="Times New Roman;sans-serif" w:hAnsi="Times New Roman;sans-serif"/>
          <w:b w:val="false"/>
          <w:color w:val="000000"/>
          <w:sz w:val="22"/>
        </w:rPr>
        <w:t>), as amended from time to time, and any successor statute.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Communications</w:t>
      </w:r>
      <w:r>
        <w:rPr>
          <w:color w:val="000000"/>
        </w:rPr>
        <w:t>”</w:t>
      </w:r>
      <w:r>
        <w:rPr>
          <w:rFonts w:ascii="Times New Roman;sans-serif" w:hAnsi="Times New Roman;sans-serif"/>
          <w:b w:val="false"/>
          <w:color w:val="000000"/>
          <w:sz w:val="22"/>
        </w:rPr>
        <w:t>: is defined in Section 10.2(c)(ii).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Compliance Certificate</w:t>
      </w:r>
      <w:r>
        <w:rPr>
          <w:color w:val="000000"/>
        </w:rPr>
        <w:t>”</w:t>
      </w:r>
      <w:r>
        <w:rPr>
          <w:rFonts w:ascii="Times New Roman;sans-serif" w:hAnsi="Times New Roman;sans-serif"/>
          <w:b w:val="false"/>
          <w:color w:val="000000"/>
          <w:sz w:val="22"/>
        </w:rPr>
        <w:t>: a certificate duly executed by a Responsible Officer of the Borrower substantially in the form of Exhibit 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Conforming Changes</w:t>
      </w:r>
      <w:r>
        <w:rPr>
          <w:color w:val="000000"/>
        </w:rPr>
        <w:t>”</w:t>
      </w:r>
      <w:r>
        <w:rPr>
          <w:rFonts w:ascii="Times New Roman;sans-serif" w:hAnsi="Times New Roman;sans-serif"/>
          <w:b w:val="false"/>
          <w:color w:val="000000"/>
          <w:sz w:val="22"/>
        </w:rPr>
        <w:t xml:space="preserve">: with respect to either the use or administration of any Benchmark Replacement, any technical, administrative or operational changes (including, for example and not by way of limitation or prescription, changes to the definition of “ABR,” the definition of “Business Day,” the definition of “Interest Period” or any similar or analogous definition, the definition of “U.S. Government Securities Business Day,”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in consultation with the Borrower, decides may be appropriate in connection with the use or administration of the Benchmark or to reflect the adoption and implementation of any Benchmark Replacement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60705"/>
                <wp:effectExtent l="0" t="0" r="0" b="0"/>
                <wp:wrapNone/>
                <wp:docPr id="128" name="Frame12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such other manner of administration as the Administrative Agent decides is reasonably necessary in connection with the administration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Connection Income Taxes</w:t>
      </w:r>
      <w:r>
        <w:rPr>
          <w:color w:val="000000"/>
        </w:rPr>
        <w:t>”</w:t>
      </w:r>
      <w:r>
        <w:rPr>
          <w:rFonts w:ascii="Times New Roman;sans-serif" w:hAnsi="Times New Roman;sans-serif"/>
          <w:b w:val="false"/>
          <w:color w:val="000000"/>
          <w:sz w:val="22"/>
        </w:rPr>
        <w:t>: Other Connection Taxes that are imposed on or measured by net income (however denominated) or that are franchise Taxes or branch profits Taxes.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Consolidated Adjusted EBITDA</w:t>
      </w:r>
      <w:r>
        <w:rPr>
          <w:color w:val="000000"/>
        </w:rPr>
        <w:t>”</w:t>
      </w:r>
      <w:r>
        <w:rPr>
          <w:rFonts w:ascii="Times New Roman;sans-serif" w:hAnsi="Times New Roman;sans-serif"/>
          <w:b w:val="false"/>
          <w:color w:val="000000"/>
          <w:sz w:val="22"/>
        </w:rPr>
        <w:t xml:space="preserve">: with respect to the Borrower and its consolidated Subsidiaries for any period, the Consolidated Net Income of the Borrower and its Subsidiaries for such period: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increased (without duplication) by the following for such period (in each case (other than with respect to clause (xix)), solely to the extent decreasing Consolidated Net Income for such period):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Consolidated Interest Expense; </w:t>
      </w:r>
      <w:r>
        <w:rPr>
          <w:rFonts w:ascii="Times New Roman;sans-serif" w:hAnsi="Times New Roman;sans-serif"/>
          <w:b w:val="false"/>
          <w:i/>
          <w:color w:val="000000"/>
          <w:sz w:val="22"/>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provisions for taxes based on income, profits or capital, including federal, state, franchise, excise, property and similar taxes and foreign withholding taxes paid or accrued, including giving effect to any penalties and interest with respect thereto, and state taxes in lieu of business fees (including business license fees), payroll tax credits and income tax credits; </w:t>
      </w:r>
      <w:r>
        <w:rPr>
          <w:rFonts w:ascii="Times New Roman;sans-serif" w:hAnsi="Times New Roman;sans-serif"/>
          <w:b w:val="false"/>
          <w:i/>
          <w:color w:val="000000"/>
          <w:sz w:val="22"/>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(iii)    all depreciation and amortization charges and expenses, including (A) amortization or expense recorded for capitalized software expenses and (B) amortization of upfront payments related to any contract signing and signing bonus and incentive payments, in each case under this clause (B), that were capitalized in a prior period and are being expensed via amortization; </w:t>
      </w:r>
      <w:r>
        <w:rPr>
          <w:rFonts w:ascii="Times New Roman;sans-serif" w:hAnsi="Times New Roman;sans-serif"/>
          <w:b w:val="false"/>
          <w:i/>
          <w:color w:val="000000"/>
          <w:sz w:val="22"/>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(iv)    the amount of any minority or non-controlling interest attribution consisting of income attributable to minority or non-controlling equity interests and non-controlling interests of third parties in any direct or indirect Subsidiary of the Borrower that is not a wholly-owned subsidiary, net of any cash distributions made to such third parties in such period; </w:t>
      </w:r>
      <w:r>
        <w:rPr>
          <w:rFonts w:ascii="Times New Roman;sans-serif" w:hAnsi="Times New Roman;sans-serif"/>
          <w:b w:val="false"/>
          <w:i/>
          <w:color w:val="000000"/>
          <w:sz w:val="22"/>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(v)    all extraordinary, non-recurring, infrequent, exceptional or unusual losses, expenses and charges (including Casualty Events, and extraordinary losses from the Disposition of assets outside of the ordinary course of business);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for any period, the sum of (A) the aggregate amount added to Consolidated Adjusted EBITDA pursuant to this clause (v) for such period and (B) the aggregate amount added to Consolidated Adjusted EBITDA pursuant to clauses (xi), (xiii), (xvii) and (xix) below for such period, shall not exceed the Shared Cap for such period; </w:t>
      </w:r>
      <w:r>
        <w:rPr>
          <w:rFonts w:ascii="Times New Roman;sans-serif" w:hAnsi="Times New Roman;sans-serif"/>
          <w:b w:val="false"/>
          <w:i/>
          <w:color w:val="000000"/>
          <w:sz w:val="22"/>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(vi)    the amount of management, board of directors, monitoring, consulting, transaction and advisory fees (including termination fees) and related indemnities, charges and expenses (including travel expenses) to the extent permitted under the Facilities Documentation; </w:t>
      </w:r>
      <w:r>
        <w:rPr>
          <w:rFonts w:ascii="Times New Roman;sans-serif" w:hAnsi="Times New Roman;sans-serif"/>
          <w:b w:val="false"/>
          <w:i/>
          <w:color w:val="000000"/>
          <w:sz w:val="22"/>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(vii)    other non-cash charges, expenses, write-downs, losses, or other non-cash items reducing Consolidated Net Income, including any write-offs or write-downs, impairment charges, the revaluation of inventory or other inventory adjustments or the impact of purchase accounting or recapitalization accounting (including deferred revenue which would reasonably have been included in determining Consolidated Net Income for such period, but for the application of purchase accounting rules);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Borrower may determine to exclude any such non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60705"/>
                <wp:effectExtent l="0" t="0" r="0" b="0"/>
                <wp:wrapNone/>
                <wp:docPr id="129" name="Frame12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cash item to the extent that it represents an accrual or reserve (“</w:t>
      </w:r>
      <w:r>
        <w:rPr>
          <w:rFonts w:ascii="Times New Roman;sans-serif" w:hAnsi="Times New Roman;sans-serif"/>
          <w:b/>
          <w:i/>
          <w:color w:val="000000"/>
          <w:sz w:val="22"/>
        </w:rPr>
        <w:t>Accrual</w:t>
      </w:r>
      <w:r>
        <w:rPr>
          <w:color w:val="000000"/>
        </w:rPr>
        <w:t>”</w:t>
      </w:r>
      <w:r>
        <w:rPr>
          <w:rFonts w:ascii="Times New Roman;sans-serif" w:hAnsi="Times New Roman;sans-serif"/>
          <w:b w:val="false"/>
          <w:color w:val="000000"/>
          <w:sz w:val="22"/>
        </w:rPr>
        <w:t>) for potential cash items in any future period (“</w:t>
      </w:r>
      <w:r>
        <w:rPr>
          <w:rFonts w:ascii="Times New Roman;sans-serif" w:hAnsi="Times New Roman;sans-serif"/>
          <w:b/>
          <w:i/>
          <w:color w:val="000000"/>
          <w:sz w:val="22"/>
        </w:rPr>
        <w:t>Future Cash Payments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 further</w:t>
      </w:r>
      <w:r>
        <w:rPr>
          <w:color w:val="000000"/>
        </w:rPr>
        <w:t xml:space="preserve"> </w:t>
      </w:r>
      <w:r>
        <w:rPr>
          <w:rFonts w:ascii="Times New Roman;sans-serif" w:hAnsi="Times New Roman;sans-serif"/>
          <w:b w:val="false"/>
          <w:color w:val="000000"/>
          <w:sz w:val="22"/>
        </w:rPr>
        <w:t xml:space="preserve">that, to the extent at the time such Future Cash Payment is made in any future period, the amount actually paid in cash for such Future Cash Payment is less than the Accrual related thereto, an amount equal to such difference shall be added back to Consolidated Adjusted EBITDA for the period in which such Future Cash Payment is made; </w:t>
      </w:r>
      <w:r>
        <w:rPr>
          <w:rFonts w:ascii="Times New Roman;sans-serif" w:hAnsi="Times New Roman;sans-serif"/>
          <w:b w:val="false"/>
          <w:i/>
          <w:color w:val="000000"/>
          <w:sz w:val="22"/>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(viii)    losses, charges and expenses that are covered by indemnification or other reimbursement provisions to the extent actually reimbursed (or the Borrower has made a determination that a reasonable basis exists for indemnification or reimbursement, but only to the extent that such amount is in fact indemnified or reimbursed within 365 days of such determination (with a deduction in the applicable future period for any amount so added back to the extent not so indemnified or reimbursed within such 365 days)); </w:t>
      </w:r>
      <w:r>
        <w:rPr>
          <w:rFonts w:ascii="Times New Roman;sans-serif" w:hAnsi="Times New Roman;sans-serif"/>
          <w:b w:val="false"/>
          <w:i/>
          <w:color w:val="000000"/>
          <w:sz w:val="22"/>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(ix)    adjustments in the amounts and time periods specified in any quality of earnings report prepared by independent accountants of nationally or regionally recognized standing or otherwise reasonably acceptable to the Administrative Agent in connection with a Permitted Acquisition; </w:t>
      </w:r>
      <w:r>
        <w:rPr>
          <w:rFonts w:ascii="Times New Roman;sans-serif" w:hAnsi="Times New Roman;sans-serif"/>
          <w:b w:val="false"/>
          <w:i/>
          <w:color w:val="000000"/>
          <w:sz w:val="22"/>
        </w:rPr>
        <w:t>plus</w:t>
      </w:r>
      <w:r>
        <w:rPr>
          <w:color w:val="00000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(x)    any payments, charges, costs expenses, accruals or reserves in connection with any rollover, acceleration, vesting or payout of equity interests held by current, former or future officers, directors, employees, managers, consultants and independent contractors, and all losses, charges and expenses related to (A) payments made to holders of options or other equity interests, whether derivative or otherwise, of the Borrower and its Subsidiaries, including pursuant to any management equity plan or stock option plan or any other management or employee benefit plan or agreement or any stock subscription or shareholder agreement and (B) grants or sales of stock, stock appreciation, stock options, restricted stock, preferred stock, or other similar rights; </w:t>
      </w:r>
      <w:r>
        <w:rPr>
          <w:rFonts w:ascii="Times New Roman;sans-serif" w:hAnsi="Times New Roman;sans-serif"/>
          <w:b w:val="false"/>
          <w:i/>
          <w:color w:val="000000"/>
          <w:sz w:val="22"/>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(xi)    any expenses, costs, accruals, reserves, payments, fees and expenses, or loss of any kind (“</w:t>
      </w:r>
      <w:r>
        <w:rPr>
          <w:rFonts w:ascii="Times New Roman;sans-serif" w:hAnsi="Times New Roman;sans-serif"/>
          <w:b/>
          <w:i/>
          <w:color w:val="000000"/>
          <w:sz w:val="22"/>
        </w:rPr>
        <w:t>Charges</w:t>
      </w:r>
      <w:r>
        <w:rPr>
          <w:color w:val="000000"/>
        </w:rPr>
        <w:t>”</w:t>
      </w:r>
      <w:r>
        <w:rPr>
          <w:rFonts w:ascii="Times New Roman;sans-serif" w:hAnsi="Times New Roman;sans-serif"/>
          <w:b w:val="false"/>
          <w:color w:val="000000"/>
          <w:sz w:val="22"/>
        </w:rPr>
        <w:t xml:space="preserve">) (including rationalization, legal, tax, structuring, and other Charges) (other than depreciation or amortization expenses) related to any litigation (including threatened litigation), settlements, investigations (including internal investigations) and proceedings (or any threatened investigations or proceedings), including by any regulatory, governmental, law enforcement body, or attorney general;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for any period, the sum of (A) the aggregate amount added to Consolidated Adjusted EBITDA pursuant to this clause (xi) for such period and (B) the aggregate amount added to Consolidated Adjusted EBITDA pursuant to clause (v) above and clauses (xiii), (xvii) and (xix) below for such period, shall not exceed the Shared Cap for such period; </w:t>
      </w:r>
      <w:r>
        <w:rPr>
          <w:rFonts w:ascii="Times New Roman;sans-serif" w:hAnsi="Times New Roman;sans-serif"/>
          <w:b w:val="false"/>
          <w:i/>
          <w:color w:val="000000"/>
          <w:sz w:val="22"/>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(xii)    earn-out and contingent consideration obligations paid or accrued during the applicable period, including any mark to market adjustments; </w:t>
      </w:r>
      <w:r>
        <w:rPr>
          <w:rFonts w:ascii="Times New Roman;sans-serif" w:hAnsi="Times New Roman;sans-serif"/>
          <w:b w:val="false"/>
          <w:i/>
          <w:color w:val="000000"/>
          <w:sz w:val="22"/>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(xiii)    all costs and expenses in connection with pre-opening and opening and closure and/or consolidation of facilities;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for any period, the sum of (A) the aggregate amount added to Consolidated Adjusted EBITDA pursuant to this clause (xiii) for such period and (B) the aggregate amount added to Consolidated Adjusted EBITDA pursuant to clauses (v) and (xi) above and clauses (xvii) and (xix) below for such period, shall not exceed the Shared Cap for such period; </w:t>
      </w:r>
      <w:r>
        <w:rPr>
          <w:rFonts w:ascii="Times New Roman;sans-serif" w:hAnsi="Times New Roman;sans-serif"/>
          <w:b w:val="false"/>
          <w:i/>
          <w:color w:val="000000"/>
          <w:sz w:val="22"/>
        </w:rPr>
        <w:t>plus</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60705"/>
                <wp:effectExtent l="0" t="0" r="0" b="0"/>
                <wp:wrapNone/>
                <wp:docPr id="130" name="Frame13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(xiv)    [reserved]; </w:t>
      </w:r>
      <w:r>
        <w:rPr>
          <w:rFonts w:ascii="Times New Roman;sans-serif" w:hAnsi="Times New Roman;sans-serif"/>
          <w:b w:val="false"/>
          <w:i/>
          <w:color w:val="000000"/>
          <w:sz w:val="22"/>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(xv)    [reserved]; </w:t>
      </w:r>
      <w:r>
        <w:rPr>
          <w:rFonts w:ascii="Times New Roman;sans-serif" w:hAnsi="Times New Roman;sans-serif"/>
          <w:b w:val="false"/>
          <w:i/>
          <w:color w:val="000000"/>
          <w:sz w:val="22"/>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(xvi)    with respect to any joint venture or any other non-wholly owned entity that is not a Subsidiary, an amount equal to the proportion of those items described in clauses (i), (ii) and (iii) above relating to such joint venture or other non-wholly owned entity corresponding to the Borrower and its Subsidiaries’ proportionate share of such joint venture’s or other non-wholly owned entity’s Consolidated Net Income (determined as if such joint venture were a Subsidiary) solely to the extent Consolidated Net Income was reduced thereby; </w:t>
      </w:r>
      <w:r>
        <w:rPr>
          <w:rFonts w:ascii="Times New Roman;sans-serif" w:hAnsi="Times New Roman;sans-serif"/>
          <w:b w:val="false"/>
          <w:i/>
          <w:color w:val="000000"/>
          <w:sz w:val="22"/>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(xvii)    any Charges in connection with the following: (A) restructuring (including restructuring charges or reserves, whether or not classified as such under GAAP), severance, relocation, consolidation, integration or other similar items, (B) strategic and/or business initiatives; business optimization initiatives (including costs and expenses relating to reporting systems and technology initiatives); strategic initiatives; cost savings initiatives; retention, severance, and similar items; systems establishment costs; systems conversion and integration costs; contract termination costs; recruiting and relocation costs and expenses; signing, retention and completion bonuses and expenses; future lease commitments; curtailments or modifications to pension and post-retirement employee benefits plans; new systems design and implementation; consulting fees and expenses relating to enhancing accounting functions; tax projects/audits; any decommissioning or reconfiguration of fixed assets for alternative uses; and transaction services agreements or similar arrangements, (C) the start-up, pre-opening, opening, transition, consolidation, relocation, reconfiguration, shut-down, discontinuation or closing of any business, division, operations or facilities and (D) start-up costs, including entry into new market/channels, new service offerings, new platforms or new contracts, in each case of clauses (A) through (D), including in connection with any acquisition or other Investment;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for any period, the sum of (A) the aggregate amount added to Consolidated Adjusted EBITDA pursuant to this clause (xvii) for such period and (B) the aggregate amount added to Consolidated Adjusted EBITDA pursuant to clauses (v), (xi) and (xiii) above and clause (xix) below for such period, shall not exceed the Shared Cap for such period; </w:t>
      </w:r>
      <w:r>
        <w:rPr>
          <w:rFonts w:ascii="Times New Roman;sans-serif" w:hAnsi="Times New Roman;sans-serif"/>
          <w:b w:val="false"/>
          <w:i/>
          <w:color w:val="000000"/>
          <w:sz w:val="22"/>
        </w:rPr>
        <w:t>plus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(xviii)    any (A) fees and expenses related to the Transactions and the negotiation, preparation, execution and delivery of the Loan Documents, (B) transaction fees, costs and expenses incurred in connection with any contemplated equity issuances, investments, acquisitions, asset sales, dispositions, recapitalizations, mergers, amalgamations, option buyouts and the incurrence, modification, redemption, extinguishment, cancellation or repayment of Indebtedness permitted to be incurred under this Agreement (including the Existing Convertible Notes), including any refinancing in respect thereof, and (C) fees, costs and expenses incurred in connection with any amendments, waivers or other modifications to the agreements and arrangements described in clause (B) or the agreements relating to any Indebtedness (including the Loan Documents), in each case, whether or not consummated; </w:t>
      </w:r>
      <w:r>
        <w:rPr>
          <w:rFonts w:ascii="Times New Roman;sans-serif" w:hAnsi="Times New Roman;sans-serif"/>
          <w:b w:val="false"/>
          <w:i/>
          <w:color w:val="000000"/>
          <w:sz w:val="22"/>
        </w:rPr>
        <w:t>plus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(xix)    the amount of “run rate” cost savings, operating expense reductions, operating improvements (including the entry into, amendment of or renegotiation of any material contract or arrangement) and synergies that are projected by the Borrower in good faith to be realized (calculated on a pro forma basis as though such items had been realized on the first day of such period) as a result of actions taken or committed to be taken by the Borrower or any Subsidiary no later than 12 months after the end of such period, net of the amount of actual benefits realized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60705"/>
                <wp:effectExtent l="0" t="0" r="0" b="0"/>
                <wp:wrapNone/>
                <wp:docPr id="131" name="Frame13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during such period from such actions;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(A) that such cost savings, operating expense reductions, operating improvements and synergies are factually supportable and reasonably identifiable (as determined in good faith by a responsible officer, in his or her capacity as such and not in his or her personal capacity, of the Borrower) and are reasonably anticipated to result from actions taken or to be taken within 12 months after the consummation of any change that is expected to result in such cost savings, operating expense reductions, operating improvements or synergies; and (B) for any period, the sum of (1) the aggregate amount added to Consolidated Adjusted EBITDA pursuant to this clause (xix) for such period and (2) the aggregate amount added to Consolidated Adjusted EBITDA pursuant to clauses (v), (xi), (xiii) and (xvii) below for such period, shall not exceed the Shared Cap for such period;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increased (with respect to losses) or decreased (with respect to gains) by, without duplication, (i) any net realized gains and losses relating to (x) amounts denominated in foreign currencies resulting from the application of FASB ASC 830 (including net realized gains and losses from exchange rate fluctuations on intercompany balances and balance sheet items, net of realized gains or losses from related Swap Agreements (entered into in the ordinary course of business or consistent with past practice)) or (y) any other amounts denominated in or otherwise trued-up to provide similar accounting as if it were denominated in foreign currencies and (ii) any gain or loss relating to Swap Agreements;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decreased (without duplication and to the extent increasing such Consolidated Net Income for such period):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by non-cash gains or income, excluding any non-cash gains that represent the reversal of any accrual of, or cash reserve for, anticipated cash charges that were deducted (and not added back) in the calculation of Consolidated Adjusted EBITDA for any prior period;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Consolidated Interest Income;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    capitalized software development costs and sales commissions that are capitalized under GAAP; and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extraordinary or unusual gains.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Consolidated Capital Expenditures</w:t>
      </w:r>
      <w:r>
        <w:rPr>
          <w:color w:val="000000"/>
        </w:rPr>
        <w:t>”</w:t>
      </w:r>
      <w:r>
        <w:rPr>
          <w:rFonts w:ascii="Times New Roman;sans-serif" w:hAnsi="Times New Roman;sans-serif"/>
          <w:b w:val="false"/>
          <w:color w:val="000000"/>
          <w:sz w:val="22"/>
        </w:rPr>
        <w:t xml:space="preserve">: for any period, with respect to the Borrower and its consolidated Subsidiaries, the aggregate amount of all expenditures (whether paid in cash or other consideration or accrued as a liability and including that portion of Capital Lease Obligations which is capitalized on the consolidated balance sheet of the Borrower) by such Group Members during such period for the acquisition or leasing (pursuant to a capital lease or finance lease) of fixed or capital assets or additions to equipment (including replacements, capitalized repairs and improvements during such period) that, in conformity with GAAP, are included in “additions to property, plant or equipment” or comparable items reflected in the consolidated statement of cash flows of the Borrower;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w:t>
      </w:r>
      <w:r>
        <w:rPr>
          <w:rFonts w:ascii="Times New Roman;sans-serif" w:hAnsi="Times New Roman;sans-serif"/>
          <w:b/>
          <w:i/>
          <w:color w:val="000000"/>
          <w:sz w:val="22"/>
        </w:rPr>
        <w:t>Consolidated Capital Expenditures</w:t>
      </w:r>
      <w:r>
        <w:rPr>
          <w:color w:val="000000"/>
        </w:rPr>
        <w:t xml:space="preserve">” </w:t>
      </w:r>
      <w:r>
        <w:rPr>
          <w:rFonts w:ascii="Times New Roman;sans-serif" w:hAnsi="Times New Roman;sans-serif"/>
          <w:b w:val="false"/>
          <w:color w:val="000000"/>
          <w:sz w:val="22"/>
        </w:rPr>
        <w:t>shall not include expenditures (a) in respect of normal replacements and maintenance which are properly charged to current operations, (b) made in connection with the replacement, substitution or restoration of assets to the extent financed (i) from insurance proceeds paid on account of the loss of or damage to the assets being replaced or restored or (ii) with awards of compensation arising from the taking by eminent domain or condemnation of the assets being replaced, or (c) made as a tenant as leasehold improvements during such period to the extent reimbursed by the landlord during such period.</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60705"/>
                <wp:effectExtent l="0" t="0" r="0" b="0"/>
                <wp:wrapNone/>
                <wp:docPr id="132" name="Frame13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Consolidated First Lien Net Leverage Ratio</w:t>
      </w:r>
      <w:r>
        <w:rPr>
          <w:color w:val="000000"/>
        </w:rPr>
        <w:t>”</w:t>
      </w:r>
      <w:r>
        <w:rPr>
          <w:rFonts w:ascii="Times New Roman;sans-serif" w:hAnsi="Times New Roman;sans-serif"/>
          <w:b w:val="false"/>
          <w:color w:val="000000"/>
          <w:sz w:val="22"/>
        </w:rPr>
        <w:t xml:space="preserve">: as of any date of determination, the ratio of (a) (i) Consolidated Funded Indebtedness (including the Loans) secured by a Lien on the Collateral on an equal priority basis with the Liens securing the Loans or otherwise constitutes a first priority Lien as of such date of determination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(ii) Unrestricted Cash on such date in an aggregate amount for purposes of this clause (ii) not to exceed $25,000,000 to (b) Consolidated Adjusted EBITDA of the Borrower and its consolidated Subsidiaries for the Test Period ending on or most recently ending prior to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Consolidated Funded Indebtedness</w:t>
      </w:r>
      <w:r>
        <w:rPr>
          <w:color w:val="000000"/>
        </w:rPr>
        <w:t>”</w:t>
      </w:r>
      <w:r>
        <w:rPr>
          <w:rFonts w:ascii="Times New Roman;sans-serif" w:hAnsi="Times New Roman;sans-serif"/>
          <w:b w:val="false"/>
          <w:color w:val="000000"/>
          <w:sz w:val="22"/>
        </w:rPr>
        <w:t xml:space="preserve">: at any time, all Indebtedness of the Borrower and its Subsidiaries consisting of (A) Indebtedness in respect of borrowed money, (B) Indebtedness evidenced by bonds, notes, debentures or similar instruments, and drawn and unreimbursed letters of credit, bankers’ acceptances or similar instruments (in each case, other than surety bonds, performance bonds or other similar instruments), (C) Capital Lease Obligations in excess of $1,000,000 in the aggregate (solely to the extent of such excess), (D) earnouts and other similar contingent deferred purchase price obligations (excluding purchase price adjustments) solely to the extent due and remaining unpaid, (E) obligations in respect of any Disqualified Stock and (F) guarantees by the Borrower or its Subsidiaries of the foregoing types of Indebtedness;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Consolidated Funded Indebtedness shall not include Indebtedness under Existing Convertible Notes to the extent the Loan Parties are in compliance on a pro forma basis with the Liquidity Covenant.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Consolidated Interest Expense</w:t>
      </w:r>
      <w:r>
        <w:rPr>
          <w:color w:val="000000"/>
        </w:rPr>
        <w:t>”</w:t>
      </w:r>
      <w:r>
        <w:rPr>
          <w:rFonts w:ascii="Times New Roman;sans-serif" w:hAnsi="Times New Roman;sans-serif"/>
          <w:b w:val="false"/>
          <w:color w:val="000000"/>
          <w:sz w:val="22"/>
        </w:rPr>
        <w:t xml:space="preserve">: for any period, total interest expense (including that attributable to Capital Lease Obligations) of the Borrower and its consolidated Subsidiaries for such period with respect to all outstanding Indebtedness of such Persons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Consolidated Interest Income</w:t>
      </w:r>
      <w:r>
        <w:rPr>
          <w:color w:val="000000"/>
        </w:rPr>
        <w:t>”</w:t>
      </w:r>
      <w:r>
        <w:rPr>
          <w:rFonts w:ascii="Times New Roman;sans-serif" w:hAnsi="Times New Roman;sans-serif"/>
          <w:b w:val="false"/>
          <w:color w:val="000000"/>
          <w:sz w:val="22"/>
        </w:rPr>
        <w:t>: for any period, the consolidated interest income of the Borrower and its consolidated Subsidiaries for such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Consolidated Net Income</w:t>
      </w:r>
      <w:r>
        <w:rPr>
          <w:color w:val="000000"/>
        </w:rPr>
        <w:t>”</w:t>
      </w:r>
      <w:r>
        <w:rPr>
          <w:rFonts w:ascii="Times New Roman;sans-serif" w:hAnsi="Times New Roman;sans-serif"/>
          <w:b w:val="false"/>
          <w:color w:val="000000"/>
          <w:sz w:val="22"/>
        </w:rPr>
        <w:t xml:space="preserve">: for any period, the consolidated net income (or loss) of the Borrower and its consolidated Subsidiaries, determined on a consolidated basis in accordance with GAAP;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there shall be excluded from the calculation of “Consolidated Net Income” (a) the income (or deficit) of any such Person accrued prior to the date it becomes a Subsidiary of the Borrower or is merged into or consolidated with the Borrower or one of its Subsidiaries, (b) the income (or deficit) of any such Person (other than a Subsidiary of the Borrower in which the Borrower or one of its Subsidiaries has an ownership interest), except to the extent that any such income is actually received by the Borrower or such Subsidiary in the form of dividends or similar distributions and (c) the undistributed earnings (or loss to the extent that the Borrower or any wholly-owned Subsidiary thereof is not required to directly or indirectly fund such loss) of any Subsidiary of the Borrower to the extent that the declaration or payment of dividends or similar distributions (or loans constituting Junior Indebtedness in lieu of a distribution) by such Subsidiary is not at the time permitted by the terms of any Contractual Obligation (other than under any Loan Document), any applicable Operating Document or Requirement of Law applicable to such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Consolidated Net Leverage Ratio</w:t>
      </w:r>
      <w:r>
        <w:rPr>
          <w:color w:val="000000"/>
        </w:rPr>
        <w:t>”</w:t>
      </w:r>
      <w:r>
        <w:rPr>
          <w:rFonts w:ascii="Times New Roman;sans-serif" w:hAnsi="Times New Roman;sans-serif"/>
          <w:b w:val="false"/>
          <w:color w:val="000000"/>
          <w:sz w:val="22"/>
        </w:rPr>
        <w:t xml:space="preserve">: as of any date of determination, the ratio of (a) (i) Consolidated Funded Indebtedness as of such date of determination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(ii) Unrestricted Cash on such date in an aggregate amount for purposes of this clause (ii) not to exceed $25,000,000 to (b) Consolidated Adjusted EBITDA of the Borrower and its consolidated Subsidiaries for the Test Period ending on or most recently ending prior to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60705"/>
                <wp:effectExtent l="0" t="0" r="0" b="0"/>
                <wp:wrapNone/>
                <wp:docPr id="133" name="Frame13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Consolidated Secured Net Leverage Ratio</w:t>
      </w:r>
      <w:r>
        <w:rPr>
          <w:color w:val="000000"/>
        </w:rPr>
        <w:t>”</w:t>
      </w:r>
      <w:r>
        <w:rPr>
          <w:rFonts w:ascii="Times New Roman;sans-serif" w:hAnsi="Times New Roman;sans-serif"/>
          <w:b w:val="false"/>
          <w:color w:val="000000"/>
          <w:sz w:val="22"/>
        </w:rPr>
        <w:t xml:space="preserve">: as of any date of determination, the ratio of (a) (i) Consolidated Funded Indebtedness (including the Loans) secured by a Lien on any assets of the Borrower and its Subsidiaries as of such date of determination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(ii) Unrestricted Cash on such date in an aggregate amount for purposes of this clause (ii) not to exceed $25,000,000 to (b) Consolidated Adjusted EBITDA of the Borrower and its consolidated Subsidiaries for the Test Period ending on or most recently ending prior to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Contractual Obligation</w:t>
      </w:r>
      <w:r>
        <w:rPr>
          <w:color w:val="000000"/>
        </w:rPr>
        <w:t>”</w:t>
      </w:r>
      <w:r>
        <w:rPr>
          <w:rFonts w:ascii="Times New Roman;sans-serif" w:hAnsi="Times New Roman;sans-serif"/>
          <w:b w:val="false"/>
          <w:color w:val="000000"/>
          <w:sz w:val="22"/>
        </w:rPr>
        <w:t>: as to any Person, any provision of any security issued by such Person or of any indenture, mortgage, deed of trust, contract, agreement, instrument or other undertaking to which such Person is a party or by which it or any of its property is bound.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Control</w:t>
      </w:r>
      <w:r>
        <w:rPr>
          <w:color w:val="000000"/>
        </w:rPr>
        <w:t>”</w:t>
      </w:r>
      <w:r>
        <w:rPr>
          <w:rFonts w:ascii="Times New Roman;sans-serif" w:hAnsi="Times New Roman;sans-serif"/>
          <w:b w:val="false"/>
          <w:color w:val="000000"/>
          <w:sz w:val="22"/>
        </w:rPr>
        <w:t>: the possession, directly or indirectly, of the power to direct or cause the direction of the management or policies of a Person, whether through the ability to exercise voting power, by contract or otherwise. “</w:t>
      </w:r>
      <w:r>
        <w:rPr>
          <w:rFonts w:ascii="Times New Roman;sans-serif" w:hAnsi="Times New Roman;sans-serif"/>
          <w:b/>
          <w:i/>
          <w:color w:val="000000"/>
          <w:sz w:val="22"/>
        </w:rPr>
        <w:t>Controlling</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i/>
          <w:color w:val="000000"/>
          <w:sz w:val="22"/>
        </w:rPr>
        <w:t>Controlled</w:t>
      </w:r>
      <w:r>
        <w:rPr>
          <w:color w:val="000000"/>
        </w:rPr>
        <w:t xml:space="preserve">” </w:t>
      </w:r>
      <w:r>
        <w:rPr>
          <w:rFonts w:ascii="Times New Roman;sans-serif" w:hAnsi="Times New Roman;sans-serif"/>
          <w:b w:val="false"/>
          <w:color w:val="000000"/>
          <w:sz w:val="22"/>
        </w:rPr>
        <w:t xml:space="preserve">have meanings correlative thereto.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Control Agreement</w:t>
      </w:r>
      <w:r>
        <w:rPr>
          <w:color w:val="000000"/>
        </w:rPr>
        <w:t>”</w:t>
      </w:r>
      <w:r>
        <w:rPr>
          <w:rFonts w:ascii="Times New Roman;sans-serif" w:hAnsi="Times New Roman;sans-serif"/>
          <w:b w:val="false"/>
          <w:color w:val="000000"/>
          <w:sz w:val="22"/>
        </w:rPr>
        <w:t>: an agreement, in form and substance reasonably satisfactory to the Administrative Agent, which provides for the Administrative Agent to have “control” (as defined in Section 9-104 of the UCC of the State of New York or Section 8-106 of the UCC of the State of New York, as applicable) of Deposit Accounts or Securities Accounts, as applicable.</w:t>
      </w:r>
    </w:p>
    <w:p>
      <w:pPr>
        <w:pStyle w:val="TextBody"/>
        <w:bidi w:val="0"/>
        <w:spacing w:lineRule="auto" w:line="288" w:before="0" w:after="240"/>
        <w:ind w:left="0" w:right="0" w:firstLine="720"/>
        <w:jc w:val="both"/>
        <w:rPr/>
      </w:pPr>
      <w:r>
        <w:rPr>
          <w:color w:val="231F20"/>
        </w:rPr>
        <w:t>“</w:t>
      </w:r>
      <w:r>
        <w:rPr>
          <w:rFonts w:ascii="Times New Roman;sans-serif" w:hAnsi="Times New Roman;sans-serif"/>
          <w:b/>
          <w:i/>
          <w:color w:val="231F20"/>
          <w:sz w:val="22"/>
        </w:rPr>
        <w:t>Conversion Date</w:t>
      </w:r>
      <w:r>
        <w:rPr>
          <w:color w:val="231F20"/>
        </w:rPr>
        <w:t>”</w:t>
      </w:r>
      <w:r>
        <w:rPr>
          <w:rFonts w:ascii="Times New Roman;sans-serif" w:hAnsi="Times New Roman;sans-serif"/>
          <w:b w:val="false"/>
          <w:color w:val="231F20"/>
          <w:sz w:val="22"/>
        </w:rPr>
        <w:t xml:space="preserve">: July 1, 2026.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Covered Entity</w:t>
      </w:r>
      <w:r>
        <w:rPr>
          <w:color w:val="000000"/>
        </w:rPr>
        <w:t>”</w:t>
      </w:r>
      <w:r>
        <w:rPr>
          <w:rFonts w:ascii="Times New Roman;sans-serif" w:hAnsi="Times New Roman;sans-serif"/>
          <w:b w:val="false"/>
          <w:color w:val="000000"/>
          <w:sz w:val="22"/>
        </w:rPr>
        <w:t>: any of the following:</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 “covered entity” as that term is defined in, and interpreted in accordance with, 12 C.F.R. § 252.82(b);</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 “covered bank” as that term is defined in, and interpreted in accordance with, 12 C.F.R § 47.3(b); 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 “covered FSI” as that term is defined in, and interpreted in accordance with, 12 C.F.R. § 382.2(b).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Credit Agreement Refinancing Indebtedness</w:t>
      </w:r>
      <w:r>
        <w:rPr>
          <w:color w:val="000000"/>
        </w:rPr>
        <w:t>”</w:t>
      </w:r>
      <w:r>
        <w:rPr>
          <w:rFonts w:ascii="Times New Roman;sans-serif" w:hAnsi="Times New Roman;sans-serif"/>
          <w:b w:val="false"/>
          <w:color w:val="000000"/>
          <w:sz w:val="22"/>
        </w:rPr>
        <w:t xml:space="preserve">: secured or unsecured Indebtedness (regardless of whether constituting Junior Indebtedness) of the Borrower in the form of (i) Refinancing Commitments or Refinancing Loans, or (ii) other unsecured or junior lien term loans or notes, in the case of this clause (ii), governed by definitive documentation other than this Agreement;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 such Indebtedness is incurred or otherwise obtained (including by means of the extension or renewal of existing Indebtedness) in exchange for, or to extend, renew, replace, or refinance, in whole or part, any Loans (“</w:t>
      </w:r>
      <w:r>
        <w:rPr>
          <w:rFonts w:ascii="Times New Roman;sans-serif" w:hAnsi="Times New Roman;sans-serif"/>
          <w:b/>
          <w:i/>
          <w:color w:val="000000"/>
          <w:sz w:val="22"/>
        </w:rPr>
        <w:t>Refinanced Indebtedness</w:t>
      </w:r>
      <w:r>
        <w:rPr>
          <w:color w:val="000000"/>
        </w:rPr>
        <w:t>”</w:t>
      </w:r>
      <w:r>
        <w:rPr>
          <w:rFonts w:ascii="Times New Roman;sans-serif" w:hAnsi="Times New Roman;sans-serif"/>
          <w:b w:val="false"/>
          <w:color w:val="000000"/>
          <w:sz w:val="22"/>
        </w:rPr>
        <w:t xml:space="preserve">); (b) such Indebtedness is in an original aggregate principal amount not greater than the Refinanced Indebtedness; (c) such Indebtedness will not mature prior to the final maturity date of the Refinanced Indebtedness, or have a shorter weighted average life to maturity than the Refinanced Indebtedness; (d) any mandatory prepayments of any Credit Agreement Refinancing Indebtedness may not be made except to the extent that such prepayments are, (A) permitted hereunder and (B) first made or offered on a pro rata (or less than pro rata) basis with the existing Loans;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no mandatory prepayments of Refinancing Loans may be made on a greater than pro rata basis with the then existing Loans; (e) such Indebtedness is not incurred or guaranteed by any Person other than a Loan Party; and (f) if such Indebtedness is secured: (1) such Indebtedness is not secured by any asset or property of the Borrower or any Subsidiary that does not constitute Collateral; (2) the security agreements relating to such Indebtedness are substantially similar to or the same as the Security Documents (as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60705"/>
                <wp:effectExtent l="0" t="0" r="0" b="0"/>
                <wp:wrapNone/>
                <wp:docPr id="134" name="Frame13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determined in good faith by the Borrower); and (3) if such Indebtedness is secured on a junior basis to the Loans, a representative, acting on behalf of the holders of such Indebtedness, has agreed to lien subordination terms reasonably acceptable to the Administrative Agent. The covenants and events of default applicable to such Credit Agreement Refinancing Indebtedness (for the avoidance of doubt, not including interest rate, fees, funding discounts and other pricing terms) shall be either (i) substantially identical to, or (taken as a whole as reasonably determined by the Borrower in good faith) no more favorable to the lenders or holders providing such Indebtedness than (as reasonably determined by the Administrative Agent), those applicable to such Refinanced Indebtedness or (ii) otherwise on customary market terms (taken as a whole as determined by the Borrower in good faith), including with respect to high yield debt securities to the extent applicable;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foregoing restrictions set forth in this sentence will not apply to (1) terms addressed in clauses (a) through (f) of the first sentence of this paragraph, (2) interest rate, fees, funding discounts and other pricing terms, (3) redemption, prepayment or other premiums, (4) optional prepayment terms, (5) covenants and other terms that are (i) applied to the Loans existing at the time of incurrence of such Credit Agreement Refinancing Indebtedness (so that existing Lenders also receive the benefit of such provisions) and/or (ii) applicable only to periods after the final maturity date of the Loans not constituting Refinanced Indebtedness at the time of incurrence of such Indebtedness and (6) terms that are approved by the Administrative Agent.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Data Privacy Laws</w:t>
      </w:r>
      <w:r>
        <w:rPr>
          <w:color w:val="000000"/>
        </w:rPr>
        <w:t>”</w:t>
      </w:r>
      <w:r>
        <w:rPr>
          <w:rFonts w:ascii="Times New Roman;sans-serif" w:hAnsi="Times New Roman;sans-serif"/>
          <w:b w:val="false"/>
          <w:color w:val="000000"/>
          <w:sz w:val="22"/>
        </w:rPr>
        <w:t>: means any applicable laws relating to the Processing of data, data privacy, data security, data breach notification, and the cross-border transfer of Personal Information, including but not limited to, to the extent applicable, the 21st Century Cures Act, Section 4004, as implemented by 45 C.F.R. parts 171 (“</w:t>
      </w:r>
      <w:r>
        <w:rPr>
          <w:rFonts w:ascii="Times New Roman;sans-serif" w:hAnsi="Times New Roman;sans-serif"/>
          <w:b/>
          <w:i/>
          <w:color w:val="000000"/>
          <w:sz w:val="22"/>
        </w:rPr>
        <w:t>Information Blocking Rules</w:t>
      </w:r>
      <w:r>
        <w:rPr>
          <w:color w:val="000000"/>
        </w:rPr>
        <w:t>”</w:t>
      </w:r>
      <w:r>
        <w:rPr>
          <w:rFonts w:ascii="Times New Roman;sans-serif" w:hAnsi="Times New Roman;sans-serif"/>
          <w:b w:val="false"/>
          <w:color w:val="000000"/>
          <w:sz w:val="22"/>
        </w:rPr>
        <w:t>); and the Federal Trade Commission Act to the extent it regulates PHI (as defined below) and Artificial Intelligence (“</w:t>
      </w:r>
      <w:r>
        <w:rPr>
          <w:rFonts w:ascii="Times New Roman;sans-serif" w:hAnsi="Times New Roman;sans-serif"/>
          <w:b/>
          <w:i/>
          <w:color w:val="000000"/>
          <w:sz w:val="22"/>
        </w:rPr>
        <w:t>AI</w:t>
      </w:r>
      <w:r>
        <w:rPr>
          <w:color w:val="000000"/>
        </w:rPr>
        <w:t>”</w:t>
      </w:r>
      <w:r>
        <w:rPr>
          <w:rFonts w:ascii="Times New Roman;sans-serif" w:hAnsi="Times New Roman;sans-serif"/>
          <w:b w:val="false"/>
          <w:i/>
          <w:color w:val="000000"/>
          <w:sz w:val="22"/>
        </w:rPr>
        <w:t>)</w:t>
      </w:r>
      <w:r>
        <w:rPr>
          <w:rFonts w:ascii="Times New Roman;sans-serif" w:hAnsi="Times New Roman;sans-serif"/>
          <w:b w:val="false"/>
          <w:color w:val="000000"/>
          <w:sz w:val="22"/>
        </w:rPr>
        <w:t>.</w:t>
      </w:r>
      <w:r>
        <w:rPr>
          <w:color w:val="231F20"/>
        </w:rPr>
        <w:t xml:space="preserve"> </w:t>
      </w:r>
      <w:r>
        <w:rPr>
          <w:rFonts w:ascii="Times New Roman;sans-serif" w:hAnsi="Times New Roman;sans-serif"/>
          <w:b w:val="false"/>
          <w:color w:val="231F20"/>
          <w:sz w:val="22"/>
        </w:rPr>
        <w:t>Data Privacy Laws do not include HIPAA.</w:t>
      </w:r>
    </w:p>
    <w:p>
      <w:pPr>
        <w:pStyle w:val="TextBody"/>
        <w:bidi w:val="0"/>
        <w:spacing w:lineRule="auto" w:line="288" w:before="0" w:after="240"/>
        <w:ind w:left="0" w:right="0" w:firstLine="720"/>
        <w:jc w:val="both"/>
        <w:rPr/>
      </w:pPr>
      <w:r>
        <w:rPr>
          <w:color w:val="231F20"/>
        </w:rPr>
        <w:t>“</w:t>
      </w:r>
      <w:r>
        <w:rPr>
          <w:rFonts w:ascii="Times New Roman;sans-serif" w:hAnsi="Times New Roman;sans-serif"/>
          <w:b/>
          <w:i/>
          <w:color w:val="231F20"/>
          <w:sz w:val="22"/>
        </w:rPr>
        <w:t>Daily Simple SOFR</w:t>
      </w:r>
      <w:r>
        <w:rPr>
          <w:color w:val="231F20"/>
        </w:rPr>
        <w:t>”</w:t>
      </w:r>
      <w:r>
        <w:rPr>
          <w:rFonts w:ascii="Times New Roman;sans-serif" w:hAnsi="Times New Roman;sans-serif"/>
          <w:b w:val="false"/>
          <w:color w:val="231F20"/>
          <w:sz w:val="22"/>
        </w:rPr>
        <w:t xml:space="preserve">: </w:t>
      </w:r>
      <w:r>
        <w:rPr>
          <w:rFonts w:ascii="Times New Roman;sans-serif" w:hAnsi="Times New Roman;sans-serif"/>
          <w:b w:val="false"/>
          <w:color w:val="000000"/>
          <w:sz w:val="22"/>
        </w:rPr>
        <w:t>for any day (a “</w:t>
      </w:r>
      <w:r>
        <w:rPr>
          <w:rFonts w:ascii="Times New Roman;sans-serif" w:hAnsi="Times New Roman;sans-serif"/>
          <w:b/>
          <w:i/>
          <w:color w:val="000000"/>
          <w:sz w:val="22"/>
        </w:rPr>
        <w:t>SOFR Rate Day</w:t>
      </w:r>
      <w:r>
        <w:rPr>
          <w:color w:val="000000"/>
        </w:rPr>
        <w:t>”</w:t>
      </w:r>
      <w:r>
        <w:rPr>
          <w:rFonts w:ascii="Times New Roman;sans-serif" w:hAnsi="Times New Roman;sans-serif"/>
          <w:b w:val="false"/>
          <w:color w:val="000000"/>
          <w:sz w:val="22"/>
        </w:rPr>
        <w:t xml:space="preserve">), a rate </w:t>
      </w:r>
      <w:r>
        <w:rPr>
          <w:rFonts w:ascii="Times New Roman;sans-serif" w:hAnsi="Times New Roman;sans-serif"/>
          <w:b w:val="false"/>
          <w:i/>
          <w:color w:val="000000"/>
          <w:sz w:val="22"/>
        </w:rPr>
        <w:t>per annum</w:t>
      </w:r>
      <w:r>
        <w:rPr>
          <w:color w:val="000000"/>
        </w:rPr>
        <w:t xml:space="preserve"> </w:t>
      </w:r>
      <w:r>
        <w:rPr>
          <w:rFonts w:ascii="Times New Roman;sans-serif" w:hAnsi="Times New Roman;sans-serif"/>
          <w:b w:val="false"/>
          <w:color w:val="000000"/>
          <w:sz w:val="22"/>
        </w:rPr>
        <w:t>equal to SOFR for the day (such day “</w:t>
      </w:r>
      <w:r>
        <w:rPr>
          <w:rFonts w:ascii="Times New Roman;sans-serif" w:hAnsi="Times New Roman;sans-serif"/>
          <w:b/>
          <w:i/>
          <w:color w:val="000000"/>
          <w:sz w:val="22"/>
        </w:rPr>
        <w:t>SOFR Determination Date</w:t>
      </w:r>
      <w:r>
        <w:rPr>
          <w:color w:val="000000"/>
        </w:rPr>
        <w:t>”</w:t>
      </w:r>
      <w:r>
        <w:rPr>
          <w:rFonts w:ascii="Times New Roman;sans-serif" w:hAnsi="Times New Roman;sans-serif"/>
          <w:b w:val="false"/>
          <w:color w:val="000000"/>
          <w:sz w:val="22"/>
        </w:rPr>
        <w:t xml:space="preserve">)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website of the SOFR Administrator;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if Daily Simple SOFR would be less than the Floor, then solely with respect to the Initial Loans and the Delayed Draw Loans, Daily Simple SOFR will be deemed to be the Floor for the purposes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Daily SOFR Rate</w:t>
      </w:r>
      <w:r>
        <w:rPr>
          <w:color w:val="000000"/>
        </w:rPr>
        <w:t>”</w:t>
      </w:r>
      <w:r>
        <w:rPr>
          <w:rFonts w:ascii="Times New Roman;sans-serif" w:hAnsi="Times New Roman;sans-serif"/>
          <w:b w:val="false"/>
          <w:color w:val="000000"/>
          <w:sz w:val="22"/>
        </w:rPr>
        <w:t xml:space="preserve">: for any day, a rate </w:t>
      </w:r>
      <w:r>
        <w:rPr>
          <w:rFonts w:ascii="Times New Roman;sans-serif" w:hAnsi="Times New Roman;sans-serif"/>
          <w:b w:val="false"/>
          <w:i/>
          <w:color w:val="000000"/>
          <w:sz w:val="22"/>
        </w:rPr>
        <w:t>per annum</w:t>
      </w:r>
      <w:r>
        <w:rPr>
          <w:color w:val="000000"/>
        </w:rPr>
        <w:t xml:space="preserve"> </w:t>
      </w:r>
      <w:r>
        <w:rPr>
          <w:rFonts w:ascii="Times New Roman;sans-serif" w:hAnsi="Times New Roman;sans-serif"/>
          <w:b w:val="false"/>
          <w:color w:val="000000"/>
          <w:sz w:val="22"/>
        </w:rPr>
        <w:t>equal to Term SOFR in effect on such day for a one-month Interest Period (without giving effect to the Floor referred to in the definition of “Term SOFR”).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Debtor Relief Laws</w:t>
      </w:r>
      <w:r>
        <w:rPr>
          <w:color w:val="000000"/>
        </w:rPr>
        <w:t>”</w:t>
      </w:r>
      <w:r>
        <w:rPr>
          <w:rFonts w:ascii="Times New Roman;sans-serif" w:hAnsi="Times New Roman;sans-serif"/>
          <w:b w:val="false"/>
          <w:color w:val="000000"/>
          <w:sz w:val="22"/>
        </w:rPr>
        <w:t>: the Bankruptcy Code, and all other liquidation, conservatorship, bankruptcy, assignment for the benefit of creditors, moratorium, rearrangement, receivership, examinership, rescue process, administration, insolvency, reorganization, court scheme of arrangement or similar debtor relief laws or laws affecting the rights of creditors of the United States or other applicable jurisdictions from time to time in effect.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Declined Amount</w:t>
      </w:r>
      <w:r>
        <w:rPr>
          <w:color w:val="000000"/>
        </w:rPr>
        <w:t>”</w:t>
      </w:r>
      <w:r>
        <w:rPr>
          <w:rFonts w:ascii="Times New Roman;sans-serif" w:hAnsi="Times New Roman;sans-serif"/>
          <w:b w:val="false"/>
          <w:color w:val="000000"/>
          <w:sz w:val="22"/>
        </w:rPr>
        <w:t>: is defined in Section 2.12(g).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Default</w:t>
      </w:r>
      <w:r>
        <w:rPr>
          <w:color w:val="000000"/>
        </w:rPr>
        <w:t>”</w:t>
      </w:r>
      <w:r>
        <w:rPr>
          <w:rFonts w:ascii="Times New Roman;sans-serif" w:hAnsi="Times New Roman;sans-serif"/>
          <w:b w:val="false"/>
          <w:color w:val="000000"/>
          <w:sz w:val="22"/>
        </w:rPr>
        <w:t>: any event that constitutes an Event of Default or that, with the giving of any notice, the lapse of time, or both, would constitute an Event of Default.</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60705"/>
                <wp:effectExtent l="0" t="0" r="0" b="0"/>
                <wp:wrapNone/>
                <wp:docPr id="135" name="Frame13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Default Rate</w:t>
      </w:r>
      <w:r>
        <w:rPr>
          <w:color w:val="000000"/>
        </w:rPr>
        <w:t>”</w:t>
      </w:r>
      <w:r>
        <w:rPr>
          <w:rFonts w:ascii="Times New Roman;sans-serif" w:hAnsi="Times New Roman;sans-serif"/>
          <w:b w:val="false"/>
          <w:color w:val="000000"/>
          <w:sz w:val="22"/>
        </w:rPr>
        <w:t>: is defined in Section 2.15(c).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Default Right</w:t>
      </w:r>
      <w:r>
        <w:rPr>
          <w:color w:val="000000"/>
        </w:rPr>
        <w:t>”</w:t>
      </w:r>
      <w:r>
        <w:rPr>
          <w:rFonts w:ascii="Times New Roman;sans-serif" w:hAnsi="Times New Roman;sans-serif"/>
          <w:b w:val="false"/>
          <w:color w:val="000000"/>
          <w:sz w:val="22"/>
        </w:rPr>
        <w:t>: has the meaning assigned to that term in, and shall be interpreted in accordance with, 12 C.F.R. §§ 252.81, 47.2 or 382.1,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Defaulting Lender</w:t>
      </w:r>
      <w:r>
        <w:rPr>
          <w:color w:val="000000"/>
        </w:rPr>
        <w:t>”</w:t>
      </w:r>
      <w:r>
        <w:rPr>
          <w:rFonts w:ascii="Times New Roman;sans-serif" w:hAnsi="Times New Roman;sans-serif"/>
          <w:b w:val="false"/>
          <w:color w:val="000000"/>
          <w:sz w:val="22"/>
        </w:rPr>
        <w:t>: subject to Section 2.24(b),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reasonable determination that one or more conditions precedent to funding set forth in Section 5.2 (or, with respect to the Initial Credit Extension, Section 3.1 (and not Section 3.2))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set forth in Section 5.2 (or, with respect to the Initial Credit Extension, Section 3.1 (and not Section 3.2))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2.24(b)) upon delivery of written notice of such determination to the Borrower and each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Deferred Payment Obligations</w:t>
      </w:r>
      <w:r>
        <w:rPr>
          <w:color w:val="000000"/>
        </w:rPr>
        <w:t>”</w:t>
      </w:r>
      <w:r>
        <w:rPr>
          <w:rFonts w:ascii="Times New Roman;sans-serif" w:hAnsi="Times New Roman;sans-serif"/>
          <w:b w:val="false"/>
          <w:color w:val="000000"/>
          <w:sz w:val="22"/>
        </w:rPr>
        <w:t>: is defined in Section 7.2(k).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A Commitment</w:t>
      </w:r>
      <w:r>
        <w:rPr>
          <w:color w:val="000000"/>
        </w:rPr>
        <w:t>”</w:t>
      </w:r>
      <w:r>
        <w:rPr>
          <w:rFonts w:ascii="Times New Roman;sans-serif" w:hAnsi="Times New Roman;sans-serif"/>
          <w:b w:val="false"/>
          <w:color w:val="000000"/>
          <w:sz w:val="22"/>
        </w:rPr>
        <w:t>: with respect to each Lender at any time, an amount equal to the commitment, if any, of such Lender to make or otherwise fund any Delayed Draw Loan pursuant to Section 2.1(b)(i) in an aggregate principal amount equal to the amount set forth opposite such Lender’s name on Schedule 1.1A under the caption “Delayed Draw A Commitment” or on the applicable Assignment and Assumption. The initial aggregate amount of the Delayed Draw A Commitments is $40,000,000.</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60705"/>
                <wp:effectExtent l="0" t="0" r="0" b="0"/>
                <wp:wrapNone/>
                <wp:docPr id="136" name="Frame13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A Commitment Fee</w:t>
      </w:r>
      <w:r>
        <w:rPr>
          <w:color w:val="000000"/>
        </w:rPr>
        <w:t>”</w:t>
      </w:r>
      <w:r>
        <w:rPr>
          <w:rFonts w:ascii="Times New Roman;sans-serif" w:hAnsi="Times New Roman;sans-serif"/>
          <w:b w:val="false"/>
          <w:color w:val="000000"/>
          <w:sz w:val="22"/>
        </w:rPr>
        <w:t xml:space="preserve">: as defined in 2.9(b)(i).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A Commitment Termination Date</w:t>
      </w:r>
      <w:r>
        <w:rPr>
          <w:color w:val="000000"/>
        </w:rPr>
        <w:t>”</w:t>
      </w:r>
      <w:r>
        <w:rPr>
          <w:rFonts w:ascii="Times New Roman;sans-serif" w:hAnsi="Times New Roman;sans-serif"/>
          <w:b w:val="false"/>
          <w:color w:val="000000"/>
          <w:sz w:val="22"/>
        </w:rPr>
        <w:t>: the earliest to occur of (a) January 16, 2025 and (b) the date on which the Delayed Draw A Commitments are reduced to zero in accordance with the terms 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A Exposure</w:t>
      </w:r>
      <w:r>
        <w:rPr>
          <w:color w:val="000000"/>
        </w:rPr>
        <w:t>”</w:t>
      </w:r>
      <w:r>
        <w:rPr>
          <w:rFonts w:ascii="Times New Roman;sans-serif" w:hAnsi="Times New Roman;sans-serif"/>
          <w:b w:val="false"/>
          <w:color w:val="000000"/>
          <w:sz w:val="22"/>
        </w:rPr>
        <w:t>: with respect to any Delayed Draw Lender, as of any date of determination, the outstanding principal amount of the Delayed Draw A Loans and undrawn Delayed Draw A Commitments of such Delayed Draw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A Funding Date</w:t>
      </w:r>
      <w:r>
        <w:rPr>
          <w:color w:val="000000"/>
        </w:rPr>
        <w:t>”</w:t>
      </w:r>
      <w:r>
        <w:rPr>
          <w:rFonts w:ascii="Times New Roman;sans-serif" w:hAnsi="Times New Roman;sans-serif"/>
          <w:b w:val="false"/>
          <w:color w:val="000000"/>
          <w:sz w:val="22"/>
        </w:rPr>
        <w:t>: with respect to each borrowing of Delayed Draw A Loans, the date of funding with respect to such Delayed Draw A Loans.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A Loan</w:t>
      </w:r>
      <w:r>
        <w:rPr>
          <w:color w:val="000000"/>
        </w:rPr>
        <w:t>”</w:t>
      </w:r>
      <w:r>
        <w:rPr>
          <w:rFonts w:ascii="Times New Roman;sans-serif" w:hAnsi="Times New Roman;sans-serif"/>
          <w:b w:val="false"/>
          <w:color w:val="000000"/>
          <w:sz w:val="22"/>
        </w:rPr>
        <w:t>: as defined in Section 2.1(b)(i).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B Commitment</w:t>
      </w:r>
      <w:r>
        <w:rPr>
          <w:color w:val="000000"/>
        </w:rPr>
        <w:t>”</w:t>
      </w:r>
      <w:r>
        <w:rPr>
          <w:rFonts w:ascii="Times New Roman;sans-serif" w:hAnsi="Times New Roman;sans-serif"/>
          <w:b w:val="false"/>
          <w:color w:val="000000"/>
          <w:sz w:val="22"/>
        </w:rPr>
        <w:t>: with respect to each Lender at any time, an amount equal to the commitment, if any, of such Lender to make or otherwise fund any Delayed Draw Loan pursuant to Section 2.1(b)(ii) in an aggregate principal amount equal to the amount set forth opposite such Lender’s name on Schedule 1.1A under the caption “Delayed Draw B Commitment” or on the applicable Assignment and Assumption. The initial aggregate amount of the Delayed Draw B Commitments is $60,000,000.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B Commitment Fee</w:t>
      </w:r>
      <w:r>
        <w:rPr>
          <w:color w:val="000000"/>
        </w:rPr>
        <w:t>”</w:t>
      </w:r>
      <w:r>
        <w:rPr>
          <w:rFonts w:ascii="Times New Roman;sans-serif" w:hAnsi="Times New Roman;sans-serif"/>
          <w:b w:val="false"/>
          <w:color w:val="000000"/>
          <w:sz w:val="22"/>
        </w:rPr>
        <w:t xml:space="preserve">: as defined in 2.9(b)(ii).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B Commitment Termination Date</w:t>
      </w:r>
      <w:r>
        <w:rPr>
          <w:color w:val="000000"/>
        </w:rPr>
        <w:t>”</w:t>
      </w:r>
      <w:r>
        <w:rPr>
          <w:rFonts w:ascii="Times New Roman;sans-serif" w:hAnsi="Times New Roman;sans-serif"/>
          <w:b w:val="false"/>
          <w:color w:val="000000"/>
          <w:sz w:val="22"/>
        </w:rPr>
        <w:t>: the earliest to occur of (a) January 16, 2026 and (b) the date on which the Delayed Draw B Commitments are reduced to zero in accordance with the terms 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B Exposure</w:t>
      </w:r>
      <w:r>
        <w:rPr>
          <w:color w:val="000000"/>
        </w:rPr>
        <w:t>”</w:t>
      </w:r>
      <w:r>
        <w:rPr>
          <w:rFonts w:ascii="Times New Roman;sans-serif" w:hAnsi="Times New Roman;sans-serif"/>
          <w:b w:val="false"/>
          <w:color w:val="000000"/>
          <w:sz w:val="22"/>
        </w:rPr>
        <w:t>: with respect to any Delayed Draw Lender, as of any date of determination, the outstanding principal amount of the Delayed Draw B Loans and undrawn Delayed Draw B Commitments of such Delayed Draw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B Funding Date</w:t>
      </w:r>
      <w:r>
        <w:rPr>
          <w:color w:val="000000"/>
        </w:rPr>
        <w:t>”</w:t>
      </w:r>
      <w:r>
        <w:rPr>
          <w:rFonts w:ascii="Times New Roman;sans-serif" w:hAnsi="Times New Roman;sans-serif"/>
          <w:b w:val="false"/>
          <w:color w:val="000000"/>
          <w:sz w:val="22"/>
        </w:rPr>
        <w:t>: with respect to each borrowing of Delayed Draw B Loans, the date of funding with respect to such Delayed Draw B Loans.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B Loan</w:t>
      </w:r>
      <w:r>
        <w:rPr>
          <w:color w:val="000000"/>
        </w:rPr>
        <w:t>”</w:t>
      </w:r>
      <w:r>
        <w:rPr>
          <w:rFonts w:ascii="Times New Roman;sans-serif" w:hAnsi="Times New Roman;sans-serif"/>
          <w:b w:val="false"/>
          <w:color w:val="000000"/>
          <w:sz w:val="22"/>
        </w:rPr>
        <w:t>: as defined in Section 2.1(b)(ii).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Commitment</w:t>
      </w:r>
      <w:r>
        <w:rPr>
          <w:color w:val="000000"/>
        </w:rPr>
        <w:t>”</w:t>
      </w:r>
      <w:r>
        <w:rPr>
          <w:rFonts w:ascii="Times New Roman;sans-serif" w:hAnsi="Times New Roman;sans-serif"/>
          <w:b w:val="false"/>
          <w:color w:val="000000"/>
          <w:sz w:val="22"/>
        </w:rPr>
        <w:t>: a Delayed Draw A Commitment and/or a Delayed Draw B Commitment; the “</w:t>
      </w:r>
      <w:r>
        <w:rPr>
          <w:rFonts w:ascii="Times New Roman;sans-serif" w:hAnsi="Times New Roman;sans-serif"/>
          <w:b/>
          <w:i/>
          <w:color w:val="000000"/>
          <w:sz w:val="22"/>
        </w:rPr>
        <w:t>Delayed Draw Commitments</w:t>
      </w:r>
      <w:r>
        <w:rPr>
          <w:color w:val="000000"/>
        </w:rPr>
        <w:t>”</w:t>
      </w:r>
      <w:r>
        <w:rPr>
          <w:rFonts w:ascii="Times New Roman;sans-serif" w:hAnsi="Times New Roman;sans-serif"/>
          <w:b w:val="false"/>
          <w:color w:val="000000"/>
          <w:sz w:val="22"/>
        </w:rPr>
        <w:t>: the collective reference to the Delayed Draw A Commitments and the Delayed Draw B Commitments.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Commitment Fees</w:t>
      </w:r>
      <w:r>
        <w:rPr>
          <w:color w:val="000000"/>
        </w:rPr>
        <w:t>”</w:t>
      </w:r>
      <w:r>
        <w:rPr>
          <w:rFonts w:ascii="Times New Roman;sans-serif" w:hAnsi="Times New Roman;sans-serif"/>
          <w:b w:val="false"/>
          <w:color w:val="000000"/>
          <w:sz w:val="22"/>
        </w:rPr>
        <w:t>: the collective reference to the Delayed Draw A Commitment Fee and the Delayed Draw B Commitment Fee.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Funded Acquisition</w:t>
      </w:r>
      <w:r>
        <w:rPr>
          <w:color w:val="000000"/>
        </w:rPr>
        <w:t xml:space="preserve">” </w:t>
      </w:r>
      <w:r>
        <w:rPr>
          <w:rFonts w:ascii="Times New Roman;sans-serif" w:hAnsi="Times New Roman;sans-serif"/>
          <w:b w:val="false"/>
          <w:color w:val="000000"/>
          <w:sz w:val="22"/>
        </w:rPr>
        <w:t>a Permitted Acquisition funded by the proceeds of Delayed Draw Loans.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Lender</w:t>
      </w:r>
      <w:r>
        <w:rPr>
          <w:color w:val="000000"/>
        </w:rPr>
        <w:t>”</w:t>
      </w:r>
      <w:r>
        <w:rPr>
          <w:rFonts w:ascii="Times New Roman;sans-serif" w:hAnsi="Times New Roman;sans-serif"/>
          <w:b w:val="false"/>
          <w:color w:val="000000"/>
          <w:sz w:val="22"/>
        </w:rPr>
        <w:t>: at any time, any Lender that has a Delayed Draw Commitment or a Delayed Draw Loan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60705"/>
                <wp:effectExtent l="0" t="0" r="0" b="0"/>
                <wp:wrapNone/>
                <wp:docPr id="137" name="Frame13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Loan</w:t>
      </w:r>
      <w:r>
        <w:rPr>
          <w:color w:val="000000"/>
        </w:rPr>
        <w:t>”</w:t>
      </w:r>
      <w:r>
        <w:rPr>
          <w:rFonts w:ascii="Times New Roman;sans-serif" w:hAnsi="Times New Roman;sans-serif"/>
          <w:b w:val="false"/>
          <w:color w:val="000000"/>
          <w:sz w:val="22"/>
        </w:rPr>
        <w:t>: a Delayed Draw A Loan and/or a Delayed Draw B Loan; the “</w:t>
      </w:r>
      <w:r>
        <w:rPr>
          <w:rFonts w:ascii="Times New Roman;sans-serif" w:hAnsi="Times New Roman;sans-serif"/>
          <w:b/>
          <w:i/>
          <w:color w:val="000000"/>
          <w:sz w:val="22"/>
        </w:rPr>
        <w:t>Delayed Draw Loans</w:t>
      </w:r>
      <w:r>
        <w:rPr>
          <w:color w:val="000000"/>
        </w:rPr>
        <w:t>”</w:t>
      </w:r>
      <w:r>
        <w:rPr>
          <w:rFonts w:ascii="Times New Roman;sans-serif" w:hAnsi="Times New Roman;sans-serif"/>
          <w:b w:val="false"/>
          <w:color w:val="000000"/>
          <w:sz w:val="22"/>
        </w:rPr>
        <w:t>: the collective reference to the Delayed Draw A Loans and the Delayed Draw B Loans.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Pro Rata Share</w:t>
      </w:r>
      <w:r>
        <w:rPr>
          <w:color w:val="000000"/>
        </w:rPr>
        <w:t xml:space="preserve">” </w:t>
      </w:r>
      <w:r>
        <w:rPr>
          <w:rFonts w:ascii="Times New Roman;sans-serif" w:hAnsi="Times New Roman;sans-serif"/>
          <w:b w:val="false"/>
          <w:color w:val="000000"/>
          <w:sz w:val="22"/>
        </w:rPr>
        <w:t>(i) with respect to all payments, computations, and other matters relating to the Delayed Draw A Commitments or Delayed Draw A Loans of any Delayed Draw Lender, the percentage obtained by dividing (a) the Delayed Draw A Exposure of that Lender by (b) the aggregate Delayed Draw A Exposure of all Lenders; and (ii) with respect to all payments, computations, and other matters relating to the Delayed Draw B Commitments or Delayed Draw B Loans of any Delayed Draw Lender, the percentage obtained by dividing (a) the Delayed Draw B Exposure of that Lender by (b) the aggregate Delayed Draw B Exposure of all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Delayed Draw Termination Date</w:t>
      </w:r>
      <w:r>
        <w:rPr>
          <w:color w:val="000000"/>
        </w:rPr>
        <w:t>”</w:t>
      </w:r>
      <w:r>
        <w:rPr>
          <w:rFonts w:ascii="Times New Roman;sans-serif" w:hAnsi="Times New Roman;sans-serif"/>
          <w:b w:val="false"/>
          <w:color w:val="000000"/>
          <w:sz w:val="22"/>
        </w:rPr>
        <w:t>: the occurrence of both the Delayed Draw A Commitment Termination Date and the Delayed Draw B Commitment Termination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Deposit Account</w:t>
      </w:r>
      <w:r>
        <w:rPr>
          <w:color w:val="000000"/>
        </w:rPr>
        <w:t>”</w:t>
      </w:r>
      <w:r>
        <w:rPr>
          <w:rFonts w:ascii="Times New Roman;sans-serif" w:hAnsi="Times New Roman;sans-serif"/>
          <w:b w:val="false"/>
          <w:color w:val="000000"/>
          <w:sz w:val="22"/>
        </w:rPr>
        <w:t>: any “deposit account” as defined in the UCC with such additions to such term as may hereafter be made.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Determination Date</w:t>
      </w:r>
      <w:r>
        <w:rPr>
          <w:color w:val="000000"/>
        </w:rPr>
        <w:t>”</w:t>
      </w:r>
      <w:r>
        <w:rPr>
          <w:rFonts w:ascii="Times New Roman;sans-serif" w:hAnsi="Times New Roman;sans-serif"/>
          <w:b w:val="false"/>
          <w:color w:val="000000"/>
          <w:sz w:val="22"/>
        </w:rPr>
        <w:t>: is defined in the definition of “Pro Forma Basis”.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Discharge of Obligations</w:t>
      </w:r>
      <w:r>
        <w:rPr>
          <w:color w:val="000000"/>
        </w:rPr>
        <w:t>”</w:t>
      </w:r>
      <w:r>
        <w:rPr>
          <w:rFonts w:ascii="Times New Roman;sans-serif" w:hAnsi="Times New Roman;sans-serif"/>
          <w:b w:val="false"/>
          <w:color w:val="000000"/>
          <w:sz w:val="22"/>
        </w:rPr>
        <w:t>: subject to Section 10.8, the satisfaction of the Obligations (by the payment in full in cash of the principal of and interest on and other liabilities relating to each Loan, all fees and all other expenses and amounts payable under any Loan Document (other than inchoate indemnification obligations and any other obligations which pursuant to the terms of any Loan Document specifically survive repayment of the Loans for which no claim has been made) and the termination of all Commitments.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Discount Price Range</w:t>
      </w:r>
      <w:r>
        <w:rPr>
          <w:color w:val="000000"/>
        </w:rPr>
        <w:t xml:space="preserve">” </w:t>
      </w:r>
      <w:r>
        <w:rPr>
          <w:rFonts w:ascii="Times New Roman;sans-serif" w:hAnsi="Times New Roman;sans-serif"/>
          <w:b w:val="false"/>
          <w:color w:val="000000"/>
          <w:sz w:val="22"/>
        </w:rPr>
        <w:t>as defined in Section 2.29(b).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Discounted Prepayment</w:t>
      </w:r>
      <w:r>
        <w:rPr>
          <w:color w:val="000000"/>
        </w:rPr>
        <w:t xml:space="preserve">” </w:t>
      </w:r>
      <w:r>
        <w:rPr>
          <w:rFonts w:ascii="Times New Roman;sans-serif" w:hAnsi="Times New Roman;sans-serif"/>
          <w:b w:val="false"/>
          <w:color w:val="000000"/>
          <w:sz w:val="22"/>
        </w:rPr>
        <w:t>as defined in Section 2.29(a).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Discounted Prepayment</w:t>
      </w:r>
      <w:r>
        <w:rPr>
          <w:color w:val="000000"/>
        </w:rPr>
        <w:t xml:space="preserve"> </w:t>
      </w:r>
      <w:r>
        <w:rPr>
          <w:rFonts w:ascii="Times New Roman;sans-serif" w:hAnsi="Times New Roman;sans-serif"/>
          <w:b/>
          <w:i/>
          <w:color w:val="000000"/>
          <w:sz w:val="22"/>
        </w:rPr>
        <w:t>Amount</w:t>
      </w:r>
      <w:r>
        <w:rPr>
          <w:color w:val="000000"/>
        </w:rPr>
        <w:t xml:space="preserve">” </w:t>
      </w:r>
      <w:r>
        <w:rPr>
          <w:rFonts w:ascii="Times New Roman;sans-serif" w:hAnsi="Times New Roman;sans-serif"/>
          <w:b w:val="false"/>
          <w:color w:val="000000"/>
          <w:sz w:val="22"/>
        </w:rPr>
        <w:t>as defined in Section 2.29(b).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Discounted Prepayment Notice</w:t>
      </w:r>
      <w:r>
        <w:rPr>
          <w:color w:val="000000"/>
        </w:rPr>
        <w:t xml:space="preserve">” </w:t>
      </w:r>
      <w:r>
        <w:rPr>
          <w:rFonts w:ascii="Times New Roman;sans-serif" w:hAnsi="Times New Roman;sans-serif"/>
          <w:b w:val="false"/>
          <w:color w:val="000000"/>
          <w:sz w:val="22"/>
        </w:rPr>
        <w:t>as defined in Section 2.29(b).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Discounted Prepayment Offeror</w:t>
      </w:r>
      <w:r>
        <w:rPr>
          <w:color w:val="000000"/>
        </w:rPr>
        <w:t xml:space="preserve">” </w:t>
      </w:r>
      <w:r>
        <w:rPr>
          <w:rFonts w:ascii="Times New Roman;sans-serif" w:hAnsi="Times New Roman;sans-serif"/>
          <w:b w:val="false"/>
          <w:color w:val="000000"/>
          <w:sz w:val="22"/>
        </w:rPr>
        <w:t>as defined in Section 2.29(a).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Discounted Prepayment Response Date</w:t>
      </w:r>
      <w:r>
        <w:rPr>
          <w:color w:val="000000"/>
        </w:rPr>
        <w:t xml:space="preserve">” </w:t>
      </w:r>
      <w:r>
        <w:rPr>
          <w:rFonts w:ascii="Times New Roman;sans-serif" w:hAnsi="Times New Roman;sans-serif"/>
          <w:b w:val="false"/>
          <w:color w:val="000000"/>
          <w:sz w:val="22"/>
        </w:rPr>
        <w:t>as defined in Section 2.29(b).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Disposed Recurring Revenues</w:t>
      </w:r>
      <w:r>
        <w:rPr>
          <w:color w:val="000000"/>
        </w:rPr>
        <w:t>”</w:t>
      </w:r>
      <w:r>
        <w:rPr>
          <w:rFonts w:ascii="Times New Roman;sans-serif" w:hAnsi="Times New Roman;sans-serif"/>
          <w:b w:val="false"/>
          <w:color w:val="000000"/>
          <w:sz w:val="22"/>
        </w:rPr>
        <w:t>: with respect to any Sold Entity or Business for any period, the amount for such period of Recurring Revenues of such Sold Entity or Business, all as determined on a consolidated basis for such Sold Entity or Business.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Disposition</w:t>
      </w:r>
      <w:r>
        <w:rPr>
          <w:color w:val="000000"/>
        </w:rPr>
        <w:t>”</w:t>
      </w:r>
      <w:r>
        <w:rPr>
          <w:rFonts w:ascii="Times New Roman;sans-serif" w:hAnsi="Times New Roman;sans-serif"/>
          <w:b w:val="false"/>
          <w:color w:val="000000"/>
          <w:sz w:val="22"/>
        </w:rPr>
        <w:t>: with respect to any property (including, without limitation, Capital Stock of any Subsidiary), any sale, lease, licensing, sub-licensing, Sale Leaseback Transaction, assignment, conveyance, transfer, encumbrance or other disposition thereof and any issuance of Capital Stock of any Subsidiary (other than to the Borrower or another Subsidiary). The terms “</w:t>
      </w:r>
      <w:r>
        <w:rPr>
          <w:rFonts w:ascii="Times New Roman;sans-serif" w:hAnsi="Times New Roman;sans-serif"/>
          <w:b/>
          <w:i/>
          <w:color w:val="000000"/>
          <w:sz w:val="22"/>
        </w:rPr>
        <w:t>Dispose</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i/>
          <w:color w:val="000000"/>
          <w:sz w:val="22"/>
        </w:rPr>
        <w:t>Disposed of</w:t>
      </w:r>
      <w:r>
        <w:rPr>
          <w:color w:val="000000"/>
        </w:rPr>
        <w:t xml:space="preserve">” </w:t>
      </w:r>
      <w:r>
        <w:rPr>
          <w:rFonts w:ascii="Times New Roman;sans-serif" w:hAnsi="Times New Roman;sans-serif"/>
          <w:b w:val="false"/>
          <w:color w:val="000000"/>
          <w:sz w:val="22"/>
        </w:rPr>
        <w:t>shall have correlative meanings.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Disqualified Stock</w:t>
      </w:r>
      <w:r>
        <w:rPr>
          <w:color w:val="000000"/>
        </w:rPr>
        <w:t>”</w:t>
      </w:r>
      <w:r>
        <w:rPr>
          <w:rFonts w:ascii="Times New Roman;sans-serif" w:hAnsi="Times New Roman;sans-serif"/>
          <w:b w:val="false"/>
          <w:color w:val="000000"/>
          <w:sz w:val="22"/>
        </w:rPr>
        <w:t xml:space="preserve">: any Capital Stock that, by its terms (or by the terms of any security into which it is convertible, or for which it is exchangeable, in each case at the option of the holder thereof), or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60705"/>
                <wp:effectExtent l="0" t="0" r="0" b="0"/>
                <wp:wrapNone/>
                <wp:docPr id="138" name="Frame13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upon the happening of any event, matures or is mandatorily redeemable (other than as a result of a change of control or Disposition;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any purchase requirement triggered thereby may not become operative until the Discharge of Obligations), pursuant to a sinking fund obligation or otherwise, or redeemable at the option of the holder thereof, in whole or in part, in each case on or prior to the date that is ninety-one (91) days after the Maturity Date as in effect when such Disqualified Stock was issued;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 if such Capital Stock is issued to any employee or to any plan for the benefit of employees of the Borrower or its Subsidiaries or by any such plan to such employees, such Capital Stock shall not constitute Disqualified Stock solely because it may be required to be repurchased by the Borrower or its Subsidiaries in order to satisfy applicable statutory or regulatory obligations or as a result of such employee’s termination, death or disability and (ii) any class of Capital Stock of a Person that by its terms authorizes such Person to satisfy its obligations in full thereunder solely by delivery of Capital Stock of the Borrower that is not Disqualified Stock shall not be deemed to be Disqualified Stock. The amount of Disqualified Stock deemed to be outstanding at any time for purposes of this Agreement will be the maximum amount that the Borrower and its Subsidiaries may become obligated to pay upon maturity of, or pursuant to any mandatory redemption provisions of, such Disqualified Stock or portion thereof, plus accrued dividends.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Division</w:t>
      </w:r>
      <w:r>
        <w:rPr>
          <w:color w:val="000000"/>
        </w:rPr>
        <w:t>”</w:t>
      </w:r>
      <w:r>
        <w:rPr>
          <w:rFonts w:ascii="Times New Roman;sans-serif" w:hAnsi="Times New Roman;sans-serif"/>
          <w:b w:val="false"/>
          <w:color w:val="000000"/>
          <w:sz w:val="22"/>
        </w:rPr>
        <w:t xml:space="preserve">: in reference to any Person which is an entity, the division of such Person into two (2) or more separate Persons, with the dividing Person either continuing or terminating its existence as part of such division, including as contemplated under Section 18-217 of the Delaware Limited Liability Company Act, or any analogous action taken pursuant to any other applicable Requirements of Law.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Dollar Equivalent</w:t>
      </w:r>
      <w:r>
        <w:rPr>
          <w:color w:val="000000"/>
        </w:rPr>
        <w:t>”</w:t>
      </w:r>
      <w:r>
        <w:rPr>
          <w:rFonts w:ascii="Times New Roman;sans-serif" w:hAnsi="Times New Roman;sans-serif"/>
          <w:b w:val="false"/>
          <w:color w:val="000000"/>
          <w:sz w:val="22"/>
        </w:rPr>
        <w:t>: on any date of determination (a) with respect to any amount denominated in Dollars, such amount, and (b) with respect to any amount denominated in any currency other than Dollars, the equivalent in Dollars of such amount, determined by the Administrative Agent using the applicable Exchange Rate with respect to such currency at the time in effect.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Dollars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i/>
          <w:color w:val="000000"/>
          <w:sz w:val="22"/>
        </w:rPr>
        <w:t>$</w:t>
      </w:r>
      <w:r>
        <w:rPr>
          <w:color w:val="000000"/>
        </w:rPr>
        <w:t>”</w:t>
      </w:r>
      <w:r>
        <w:rPr>
          <w:rFonts w:ascii="Times New Roman;sans-serif" w:hAnsi="Times New Roman;sans-serif"/>
          <w:b w:val="false"/>
          <w:color w:val="000000"/>
          <w:sz w:val="22"/>
        </w:rPr>
        <w:t>: dollars in lawful currency of the United States.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Domestic Subsidiary</w:t>
      </w:r>
      <w:r>
        <w:rPr>
          <w:color w:val="000000"/>
        </w:rPr>
        <w:t>”</w:t>
      </w:r>
      <w:r>
        <w:rPr>
          <w:rFonts w:ascii="Times New Roman;sans-serif" w:hAnsi="Times New Roman;sans-serif"/>
          <w:b w:val="false"/>
          <w:color w:val="000000"/>
          <w:sz w:val="22"/>
        </w:rPr>
        <w:t>: any Subsidiary of the Borrower organized under the laws of the United States, any state thereof, or the District of Columbia.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EBITDA Based Leverage Covenant</w:t>
      </w:r>
      <w:r>
        <w:rPr>
          <w:color w:val="000000"/>
        </w:rPr>
        <w:t>”</w:t>
      </w:r>
      <w:r>
        <w:rPr>
          <w:rFonts w:ascii="Times New Roman;sans-serif" w:hAnsi="Times New Roman;sans-serif"/>
          <w:b w:val="false"/>
          <w:color w:val="000000"/>
          <w:sz w:val="22"/>
        </w:rPr>
        <w:t>: the covenant set forth in Section 7.1(b).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EEA Financial Institution</w:t>
      </w:r>
      <w:r>
        <w:rPr>
          <w:color w:val="000000"/>
        </w:rPr>
        <w:t>”</w:t>
      </w:r>
      <w:r>
        <w:rPr>
          <w:rFonts w:ascii="Times New Roman;sans-serif" w:hAnsi="Times New Roman;sans-serif"/>
          <w:b w:val="false"/>
          <w:color w:val="000000"/>
          <w:sz w:val="22"/>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EEA Member Country</w:t>
      </w:r>
      <w:r>
        <w:rPr>
          <w:color w:val="000000"/>
        </w:rPr>
        <w:t>”</w:t>
      </w:r>
      <w:r>
        <w:rPr>
          <w:rFonts w:ascii="Times New Roman;sans-serif" w:hAnsi="Times New Roman;sans-serif"/>
          <w:b w:val="false"/>
          <w:color w:val="000000"/>
          <w:sz w:val="22"/>
        </w:rPr>
        <w:t>: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EEA Resolution Authority</w:t>
      </w:r>
      <w:r>
        <w:rPr>
          <w:color w:val="000000"/>
        </w:rPr>
        <w:t>”</w:t>
      </w:r>
      <w:r>
        <w:rPr>
          <w:rFonts w:ascii="Times New Roman;sans-serif" w:hAnsi="Times New Roman;sans-serif"/>
          <w:b w:val="false"/>
          <w:color w:val="000000"/>
          <w:sz w:val="22"/>
        </w:rPr>
        <w:t>: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60705"/>
                <wp:effectExtent l="0" t="0" r="0" b="0"/>
                <wp:wrapNone/>
                <wp:docPr id="139" name="Frame13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Eligible Assignee</w:t>
      </w:r>
      <w:r>
        <w:rPr>
          <w:color w:val="000000"/>
        </w:rPr>
        <w:t>”</w:t>
      </w:r>
      <w:r>
        <w:rPr>
          <w:rFonts w:ascii="Times New Roman;sans-serif" w:hAnsi="Times New Roman;sans-serif"/>
          <w:b w:val="false"/>
          <w:color w:val="000000"/>
          <w:sz w:val="22"/>
        </w:rPr>
        <w:t>: any Person (other than an Excluded Lender) that meets the requirements to be an assignee under Section 10.6(b)(iii), (v) and (vi) (subject to such consents, if any, as may be required under Section 10.6(b)(iii)).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Environmental Laws</w:t>
      </w:r>
      <w:r>
        <w:rPr>
          <w:color w:val="000000"/>
        </w:rPr>
        <w:t>”</w:t>
      </w:r>
      <w:r>
        <w:rPr>
          <w:rFonts w:ascii="Times New Roman;sans-serif" w:hAnsi="Times New Roman;sans-serif"/>
          <w:b w:val="false"/>
          <w:color w:val="000000"/>
          <w:sz w:val="22"/>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Environmental Liability</w:t>
      </w:r>
      <w:r>
        <w:rPr>
          <w:color w:val="000000"/>
        </w:rPr>
        <w:t>”</w:t>
      </w:r>
      <w:r>
        <w:rPr>
          <w:rFonts w:ascii="Times New Roman;sans-serif" w:hAnsi="Times New Roman;sans-serif"/>
          <w:b w:val="false"/>
          <w:color w:val="000000"/>
          <w:sz w:val="22"/>
        </w:rPr>
        <w:t>: any liability, contingent or otherwise (including any liability for damages, costs of environmental remediation, fines, penalties or indemnities), of any Loan Party or any of their respective Subsidiaries directly or indirectly resulting from or based upon (a) a violation of an Environmental Law, (b) the generation, use, handling, transportation, storage, treatment or disposal of any Materials of Environmental Concern, (c) exposure to any Materials of Environmental Concern, (d) the release or threatened release of any Materials of Environmental Concern into the environment, or (e) any contract, agreement or other consensual arrangement pursuant to which liability is assumed or imposed with respect to any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ERISA</w:t>
      </w:r>
      <w:r>
        <w:rPr>
          <w:color w:val="000000"/>
        </w:rPr>
        <w:t>”</w:t>
      </w:r>
      <w:r>
        <w:rPr>
          <w:rFonts w:ascii="Times New Roman;sans-serif" w:hAnsi="Times New Roman;sans-serif"/>
          <w:b w:val="false"/>
          <w:color w:val="000000"/>
          <w:sz w:val="22"/>
        </w:rPr>
        <w:t>: the Employee Retirement Income Security Act of 1974, as amended, including (unless the context otherwise requires) any rules or regulations promulgated thereunder.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ERISA Affiliate</w:t>
      </w:r>
      <w:r>
        <w:rPr>
          <w:color w:val="000000"/>
        </w:rPr>
        <w:t>”</w:t>
      </w:r>
      <w:r>
        <w:rPr>
          <w:rFonts w:ascii="Times New Roman;sans-serif" w:hAnsi="Times New Roman;sans-serif"/>
          <w:b w:val="false"/>
          <w:color w:val="000000"/>
          <w:sz w:val="22"/>
        </w:rPr>
        <w:t>: each business or entity which is, a member of a “controlled group of corporations,” under “common control” or an “affiliated service group” with any Loan Party within the meaning of Section 414(b), (c), (m) or (n) of the Code, required to be aggregated with any Loan Party under Section 414(o) of the Code, or is, under “common control” with any Loan Party, within the meaning of Section 4001(a)(14)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ERISA Event</w:t>
      </w:r>
      <w:r>
        <w:rPr>
          <w:color w:val="000000"/>
        </w:rPr>
        <w:t>”</w:t>
      </w:r>
      <w:r>
        <w:rPr>
          <w:rFonts w:ascii="Times New Roman;sans-serif" w:hAnsi="Times New Roman;sans-serif"/>
          <w:b w:val="false"/>
          <w:color w:val="000000"/>
          <w:sz w:val="22"/>
        </w:rPr>
        <w:t xml:space="preserve">: any of (a) a reportable event as defined in Section 4043 of ERISA with respect to a Pension Plan, excluding, however, such events as to which the PBGC by regulation has waived the requirement of Section 4043(a) of ERISA that it be notified within 30 days of the occurrence of such event; (b) the applicability of the requirements of Section 4043(b) of ERISA with respect to a contributing sponsor, as defined in Section 4001(a)(13) of ERISA, to any Pension Plan where an event described in paragraph (9), (10), (11), (12) or (13) of Section 4043(c) of ERISA is reasonably expected to occur with respect to such plan within the following 30 days; (c) a withdrawal by any Loan Party or, to the knowledge of any Loan Party, any ERISA Affiliate thereof from a Pension Plan or the termination of any Pension Plan resulting in liability under Sections 4063 or 4064 of ERISA; (d) the withdrawal of any Loan Party or, to the knowledge of any Loan Party, any ERISA Affiliate thereof in a complete or partial withdrawal (within the meaning of Section 4203 and 4205 of ERISA) from any Multiemployer Plan if there is any potential liability therefor, or the receipt by any Loan Party or any ERISA Affiliate thereof of notice from any Multiemployer Plan that it is in reorganization or insolvency pursuant to Section 4241 or 4245 of ERISA; (e) the filing of a notice of intent to terminate, the treatment of a plan amendment as a termination under Section 4041 or 4041A of ERISA, or the commencement of proceedings by the PBGC to terminate a Pension Plan or Multiemployer Plan; (f) the imposition of liability on any Loan Party or any ERISA Affiliate thereof pursuant to Sections 4062(e) or 4069 of ERISA or by reason of the application of Section 4212(c) of ERISA; (g) the failure by any Loan Party or any ERISA Affiliate thereof to make any required contribution to a Pension Plan, or the failure to meet the minimum funding standard of Section 412 of the Code with respect to any Pension Plan (whether or not waived in accordance with Section 412(c) of the Code) or the failure to make by its due date a required installment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60705"/>
                <wp:effectExtent l="0" t="0" r="0" b="0"/>
                <wp:wrapNone/>
                <wp:docPr id="140" name="Frame14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under Section 430 of the Code with respect to any Pension Plan or the failure to make any required contribution to a Multiemployer Plan; (h) the determination that any Pension Plan is considered an at-risk plan or a plan in endangered to critical status within the meaning of Sections 430, 431 and 432 of the Code or Sections 303, 304 and 305 of ERISA; (i) an event or condition which might reasonably be expected to constitute grounds under Section 4042 of ERISA for the termination of, or the appointment of a trustee to administer, any Pension Plan or Multiemployer Plan; (j) the imposition of any liability under Title I or Title IV of ERISA, other than PBGC premiums due but not delinquent under Section 4007 of ERISA, upon any Loan Party or any ERISA Affiliate thereof; (k) an application for a funding waiver under Section 303 of ERISA or an extension of any amortization period pursuant to Section 412 of the Code with respect to any Pension Plan; (l) the occurrence of a material non-exempt prohibited transaction under Sections 406 or 407 of ERISA for which any Loan Party or any Subsidiary thereof may be directly or indirectly liable; (m) a material violation of the applicable requirements of Section 404 or 405 of ERISA of the exclusive benefit rule under Section 401(a) of the Code by any fiduciary or disqualified person for which any Loan Party or any ERISA Affiliate thereof may be directly or indirectly liable; (n) the occurrence of an act or omission which could give rise to the imposition on any Loan Party or any ERISA Affiliate thereof of material fines, penalties, taxes or related charges under Chapter 43 of the Code or under Sections 409, 502(c), (i) or (1) or 4071 of ERISA; (o) the assertion of a material claim (other than routine claims for benefits) against any Pension Plan or the assets thereof, or against any Loan Party or any Subsidiary thereof in connection with any such Pension Plan; (p) receipt from the IRS of notice of a material failure of any Pension Plan to qualify under Section 401(a) of the Code, or the material failure of any trust forming part of any Pension Plan to qualify for exemption from taxation under Section 501(a) of the Code; or (q) the imposition of any lien (or the fulfillment of the conditions for the imposition of any lien) on any of the rights, properties or assets of any Loan Party or any ERISA Affiliate thereof, in either case pursuant to Title I or IV of ERISA, including Section 302(f) or 303(k) of ERISA or to Section 401(a)(29) or 430(k)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ERISA Funding Rules</w:t>
      </w:r>
      <w:r>
        <w:rPr>
          <w:color w:val="000000"/>
        </w:rPr>
        <w:t>”</w:t>
      </w:r>
      <w:r>
        <w:rPr>
          <w:rFonts w:ascii="Times New Roman;sans-serif" w:hAnsi="Times New Roman;sans-serif"/>
          <w:b w:val="false"/>
          <w:color w:val="000000"/>
          <w:sz w:val="22"/>
        </w:rPr>
        <w:t>: the rules regarding minimum required contributions (including any installment payment thereof) to Pension Plans, as set forth in Section 412 of the Code and Section 302 of ERISA, with respect to Plan years ending prior to the effective date of the Pension Protection Act of 2006, and thereafter, as set forth in Sections 412, 430, 431, 432 and 436 of the Code and Sections 302, 303, 304 and 305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EU Bail-In Legislation Schedule</w:t>
      </w:r>
      <w:r>
        <w:rPr>
          <w:color w:val="000000"/>
        </w:rPr>
        <w:t>”</w:t>
      </w:r>
      <w:r>
        <w:rPr>
          <w:rFonts w:ascii="Times New Roman;sans-serif" w:hAnsi="Times New Roman;sans-serif"/>
          <w:b w:val="false"/>
          <w:color w:val="000000"/>
          <w:sz w:val="22"/>
        </w:rPr>
        <w:t>: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Event of Default</w:t>
      </w:r>
      <w:r>
        <w:rPr>
          <w:color w:val="000000"/>
        </w:rPr>
        <w:t>”</w:t>
      </w:r>
      <w:r>
        <w:rPr>
          <w:rFonts w:ascii="Times New Roman;sans-serif" w:hAnsi="Times New Roman;sans-serif"/>
          <w:b w:val="false"/>
          <w:color w:val="000000"/>
          <w:sz w:val="22"/>
        </w:rPr>
        <w:t xml:space="preserve">: any of the events specified in Section 8.1;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any requirement for the giving of notice, the lapse of time, or both, has been satisfied.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Excess Cash Flow</w:t>
      </w:r>
      <w:r>
        <w:rPr>
          <w:color w:val="000000"/>
        </w:rPr>
        <w:t>”</w:t>
      </w:r>
      <w:r>
        <w:rPr>
          <w:rFonts w:ascii="Times New Roman;sans-serif" w:hAnsi="Times New Roman;sans-serif"/>
          <w:b w:val="false"/>
          <w:color w:val="000000"/>
          <w:sz w:val="22"/>
        </w:rPr>
        <w:t>: for any fiscal year (or other period) of the Borrower and its consolidated Subsidiaries, the excess, if any, of:</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the sum of:</w:t>
      </w:r>
    </w:p>
    <w:p>
      <w:pPr>
        <w:pStyle w:val="TextBody"/>
        <w:bidi w:val="0"/>
        <w:spacing w:lineRule="auto" w:line="288" w:before="0" w:after="240"/>
        <w:jc w:val="both"/>
        <w:rPr/>
      </w:pPr>
      <w:r>
        <w:rPr>
          <w:rFonts w:ascii="Times New Roman;sans-serif" w:hAnsi="Times New Roman;sans-serif"/>
          <w:b w:val="false"/>
          <w:color w:val="000000"/>
          <w:sz w:val="22"/>
        </w:rPr>
        <w:t xml:space="preserve">(i)    Consolidated Adjusted EBITDA for such fiscal year, </w:t>
      </w:r>
      <w:r>
        <w:rPr>
          <w:rFonts w:ascii="Times New Roman;sans-serif" w:hAnsi="Times New Roman;sans-serif"/>
          <w:b w:val="false"/>
          <w:i/>
          <w:color w:val="000000"/>
          <w:sz w:val="22"/>
        </w:rPr>
        <w:t>plus</w:t>
      </w:r>
      <w:r>
        <w:rPr>
          <w:color w:val="000000"/>
        </w:rPr>
        <w:t xml:space="preserve"> </w:t>
      </w:r>
    </w:p>
    <w:p>
      <w:pPr>
        <w:pStyle w:val="TextBody"/>
        <w:bidi w:val="0"/>
        <w:spacing w:lineRule="auto" w:line="288" w:before="0" w:after="240"/>
        <w:jc w:val="both"/>
        <w:rPr/>
      </w:pPr>
      <w:r>
        <w:rPr>
          <w:rFonts w:ascii="Times New Roman;sans-serif" w:hAnsi="Times New Roman;sans-serif"/>
          <w:b w:val="false"/>
          <w:color w:val="000000"/>
          <w:sz w:val="22"/>
        </w:rPr>
        <w:t xml:space="preserve">(ii)    any decrease in Working Capital, </w:t>
      </w:r>
      <w:r>
        <w:rPr>
          <w:rFonts w:ascii="Times New Roman;sans-serif" w:hAnsi="Times New Roman;sans-serif"/>
          <w:b w:val="false"/>
          <w:i/>
          <w:color w:val="000000"/>
          <w:sz w:val="22"/>
        </w:rPr>
        <w:t>plus</w:t>
      </w:r>
    </w:p>
    <w:p>
      <w:pPr>
        <w:pStyle w:val="TextBody"/>
        <w:bidi w:val="0"/>
        <w:spacing w:lineRule="auto" w:line="288" w:before="0" w:after="240"/>
        <w:jc w:val="both"/>
        <w:rPr/>
      </w:pPr>
      <w:r>
        <w:rPr>
          <w:rFonts w:ascii="Times New Roman;sans-serif" w:hAnsi="Times New Roman;sans-serif"/>
          <w:b w:val="false"/>
          <w:color w:val="000000"/>
          <w:sz w:val="22"/>
        </w:rPr>
        <w:t xml:space="preserve">(iii)    Consolidated Interest Income, </w:t>
      </w:r>
      <w:r>
        <w:rPr>
          <w:rFonts w:ascii="Times New Roman;sans-serif" w:hAnsi="Times New Roman;sans-serif"/>
          <w:b w:val="false"/>
          <w:i/>
          <w:color w:val="000000"/>
          <w:sz w:val="22"/>
        </w:rPr>
        <w:t>minus</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60705"/>
                <wp:effectExtent l="0" t="0" r="0" b="0"/>
                <wp:wrapNone/>
                <wp:docPr id="141" name="Frame14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    the sum of (without duplication and, in each case, to the extent such payment is made in cash and not financed with the proceeds of Indebtedness for borrowed money or the proceeds of an equity issuance):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    (A) any taxes paid in cash on a consolidated basis during such period by the Group Members and (B) any taxes that would be required to be paid in cash by a Group Member within 180 days after the end of such period, without duplication in future years and solely to the extent that such taxes relate or are attributable to such period, </w:t>
      </w:r>
      <w:r>
        <w:rPr>
          <w:rFonts w:ascii="Times New Roman;sans-serif" w:hAnsi="Times New Roman;sans-serif"/>
          <w:b w:val="false"/>
          <w:i/>
          <w:color w:val="000000"/>
          <w:sz w:val="22"/>
        </w:rPr>
        <w:t>plus</w:t>
      </w:r>
      <w:r>
        <w:rPr>
          <w:color w:val="00000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    the aggregate amount actually paid by the Group Members in cash during such fiscal year (or committed to be paid in cash during or after such fiscal year but prior to the applicable Excess Cash Flow Application Date) on account of (x) Consolidated Capital Expenditures (excluding the principal amount of Loans incurred in connection with such expenditures) and (y) Permitted Acquisitions and other Investments permitted hereunder, in each case without duplication in future years (excluding (A) intercompany Investments and (B) investments consisting of cash or Cash Equivalents), </w:t>
      </w:r>
      <w:r>
        <w:rPr>
          <w:rFonts w:ascii="Times New Roman;sans-serif" w:hAnsi="Times New Roman;sans-serif"/>
          <w:b w:val="false"/>
          <w:i/>
          <w:color w:val="000000"/>
          <w:sz w:val="22"/>
        </w:rPr>
        <w:t>plus</w:t>
      </w:r>
      <w:r>
        <w:rPr>
          <w:color w:val="00000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(iii)    the aggregate amount of all regularly scheduled payments under Section 2.3 and all mandatory principal payments under Section 2.12(c) (with respect to Specified Asset Sales otherwise increasing Consolidated Net Income) made in cash during such period, </w:t>
      </w:r>
      <w:r>
        <w:rPr>
          <w:rFonts w:ascii="Times New Roman;sans-serif" w:hAnsi="Times New Roman;sans-serif"/>
          <w:b w:val="false"/>
          <w:i/>
          <w:color w:val="000000"/>
          <w:sz w:val="22"/>
        </w:rPr>
        <w:t>plus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(iv)    any increase in Working Capital, </w:t>
      </w:r>
      <w:r>
        <w:rPr>
          <w:rFonts w:ascii="Times New Roman;sans-serif" w:hAnsi="Times New Roman;sans-serif"/>
          <w:b w:val="false"/>
          <w:i/>
          <w:color w:val="000000"/>
          <w:sz w:val="22"/>
        </w:rPr>
        <w:t>plus</w:t>
      </w:r>
      <w:r>
        <w:rPr>
          <w:color w:val="00000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(v)    Consolidated Interest Expense actually paid in cash, </w:t>
      </w:r>
      <w:r>
        <w:rPr>
          <w:rFonts w:ascii="Times New Roman;sans-serif" w:hAnsi="Times New Roman;sans-serif"/>
          <w:b w:val="false"/>
          <w:i/>
          <w:color w:val="000000"/>
          <w:sz w:val="22"/>
        </w:rPr>
        <w:t>plus</w:t>
      </w:r>
      <w:r>
        <w:rPr>
          <w:color w:val="00000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(vi)    cash payments constituting the purchase price, net working capital or purchase price adjustments, earn-outs, deferred purchase price payments and similar obligations paid by the Group Members in respect of any Permitted Acquisitions and other Investments permitted hereunder, </w:t>
      </w:r>
      <w:r>
        <w:rPr>
          <w:rFonts w:ascii="Times New Roman;sans-serif" w:hAnsi="Times New Roman;sans-serif"/>
          <w:b w:val="false"/>
          <w:i/>
          <w:color w:val="000000"/>
          <w:sz w:val="22"/>
        </w:rPr>
        <w:t>plus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(vii)    other items paid in cash during such period, in each case, to the extent included as an “add-back” in the calculation of Consolidated Adjusted EBITDA, </w:t>
      </w:r>
      <w:r>
        <w:rPr>
          <w:rFonts w:ascii="Times New Roman;sans-serif" w:hAnsi="Times New Roman;sans-serif"/>
          <w:b w:val="false"/>
          <w:i/>
          <w:color w:val="000000"/>
          <w:sz w:val="22"/>
        </w:rPr>
        <w:t>plus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(viii)    permitted Restricted Payments paid in cash (excluding Restricted Payments made (A) in connection with Permitted Convertible Notes Payments or other Restricted Payments made pursuant to Section 7.6(m) or (B) to another Group Member).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Exchange Act</w:t>
      </w:r>
      <w:r>
        <w:rPr>
          <w:color w:val="000000"/>
        </w:rPr>
        <w:t>”</w:t>
      </w:r>
      <w:r>
        <w:rPr>
          <w:rFonts w:ascii="Times New Roman;sans-serif" w:hAnsi="Times New Roman;sans-serif"/>
          <w:b w:val="false"/>
          <w:color w:val="000000"/>
          <w:sz w:val="22"/>
        </w:rPr>
        <w:t>: the Securities Exchange Act of 1934, as amended from time to time and any successor statute.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Exchange Rate</w:t>
      </w:r>
      <w:r>
        <w:rPr>
          <w:color w:val="000000"/>
        </w:rPr>
        <w:t>”</w:t>
      </w:r>
      <w:r>
        <w:rPr>
          <w:rFonts w:ascii="Times New Roman;sans-serif" w:hAnsi="Times New Roman;sans-serif"/>
          <w:b w:val="false"/>
          <w:color w:val="000000"/>
          <w:sz w:val="22"/>
        </w:rPr>
        <w:t>: on any day with respect to any currency (each, an “</w:t>
      </w:r>
      <w:r>
        <w:rPr>
          <w:rFonts w:ascii="Times New Roman;sans-serif" w:hAnsi="Times New Roman;sans-serif"/>
          <w:b/>
          <w:color w:val="000000"/>
          <w:sz w:val="22"/>
        </w:rPr>
        <w:t>Agreed Currency</w:t>
      </w:r>
      <w:r>
        <w:rPr>
          <w:color w:val="000000"/>
        </w:rPr>
        <w:t>”</w:t>
      </w:r>
      <w:r>
        <w:rPr>
          <w:rFonts w:ascii="Times New Roman;sans-serif" w:hAnsi="Times New Roman;sans-serif"/>
          <w:b w:val="false"/>
          <w:color w:val="000000"/>
          <w:sz w:val="22"/>
        </w:rPr>
        <w:t xml:space="preserve">), the rate at which such currency may be exchanged into Dollars, as set forth at approximately 11:00 A.M., on such day on the applicable page of the Bloomberg Service reporting the exchange rates for such Agreed Currency. In the event such exchange rate does not appear on the applicable page of such service, the Exchange Rate shall be determined by reference to such other publicly available services for displaying currency exchange rates as may be agreed upon by the Administrative Agent and the Borrower, or, in the absence of such agreement, such Exchange Rate shall instead be determined by the Administrative Agent based on current market spot rates determined by the Administrative Agent in its reasonable discretion;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if at the time of any such determination, for any reason, no such spot rate is being quoted, the Administrative Agent, after consultation with the Borrower, may use any reasonable method it deems appropriate to determine such rate, and such determination shall be conclusive absent manifest error.</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60705"/>
                <wp:effectExtent l="0" t="0" r="0" b="0"/>
                <wp:wrapNone/>
                <wp:docPr id="142" name="Frame14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Excluded Account</w:t>
      </w:r>
      <w:r>
        <w:rPr>
          <w:color w:val="000000"/>
        </w:rPr>
        <w:t>”</w:t>
      </w:r>
      <w:r>
        <w:rPr>
          <w:rFonts w:ascii="Times New Roman;sans-serif" w:hAnsi="Times New Roman;sans-serif"/>
          <w:b w:val="false"/>
          <w:color w:val="000000"/>
          <w:sz w:val="22"/>
        </w:rPr>
        <w:t xml:space="preserve">: is defined in the Guarantee and Collateral Agreement.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Excluded Assets</w:t>
      </w:r>
      <w:r>
        <w:rPr>
          <w:color w:val="000000"/>
        </w:rPr>
        <w:t>”</w:t>
      </w:r>
      <w:r>
        <w:rPr>
          <w:rFonts w:ascii="Times New Roman;sans-serif" w:hAnsi="Times New Roman;sans-serif"/>
          <w:b w:val="false"/>
          <w:color w:val="000000"/>
          <w:sz w:val="22"/>
        </w:rPr>
        <w:t xml:space="preserve">: is defined in the Guarantee and Collateral Agreement (or any similar term used in a Foreign Security Document).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Excluded Lender</w:t>
      </w:r>
      <w:r>
        <w:rPr>
          <w:color w:val="000000"/>
        </w:rPr>
        <w:t>”</w:t>
      </w:r>
      <w:r>
        <w:rPr>
          <w:rFonts w:ascii="Times New Roman;sans-serif" w:hAnsi="Times New Roman;sans-serif"/>
          <w:b w:val="false"/>
          <w:color w:val="000000"/>
          <w:sz w:val="22"/>
        </w:rPr>
        <w:t xml:space="preserve">: (a) each of those entities (x) identified by name in writing by or on behalf of the Borrower on the “DQ List” delivered to the Administrative Agent on June 26, 2024 or (y) identified by name in writing by or on behalf of the Borrower from time to time as competitors of the Borrower and its Subsidiaries and (b) any reasonably identifiable (on the basis of its name or as identified from time to time in writing by or on behalf of the Borrower or any of its Subsidiaries) Affiliate of the entities described in the preceding clause (a), other than </w:t>
      </w:r>
      <w:r>
        <w:rPr>
          <w:rFonts w:ascii="Times New Roman;sans-serif" w:hAnsi="Times New Roman;sans-serif"/>
          <w:b w:val="false"/>
          <w:i/>
          <w:color w:val="000000"/>
          <w:sz w:val="22"/>
        </w:rPr>
        <w:t>bona fide</w:t>
      </w:r>
      <w:r>
        <w:rPr>
          <w:color w:val="000000"/>
        </w:rPr>
        <w:t xml:space="preserve"> </w:t>
      </w:r>
      <w:r>
        <w:rPr>
          <w:rFonts w:ascii="Times New Roman;sans-serif" w:hAnsi="Times New Roman;sans-serif"/>
          <w:b w:val="false"/>
          <w:color w:val="000000"/>
          <w:sz w:val="22"/>
        </w:rPr>
        <w:t xml:space="preserve">debt funds. Notwithstanding the foregoing, the addition of any Person to the list of Excluded Lenders shall become effective two (2) Business Days after identification to the Administrative Agent by the Borrower (and for the avoidance of doubt, shall not apply retroactively to any assignments or participations made prior to such effective date). The list of Excluded Lenders shall be made available by the Administrative Agent (and the Borrower hereby authorizes the Administrative Agent to make the list of Excluded Lenders available) to the Lenders promptly after written request therefor. For the avoidance of doubt, no Person that is a Lender, Participant, party to an Assignment and Assumption or a participation agreement to become a Lender or Participant, as applicable, prior to the effectiveness of any update to the list of Excluded Lenders shall be an Excluded Lender hereunder with respect to the Loans and Commitments held by such Person prior to the effectiveness of such update. The Administrative Agent shall have no obligation to monitor any non-compliance by any Lender hereunder with respect to provisions relating to Excluded Lenders.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Excluded Subsidiary</w:t>
      </w:r>
      <w:r>
        <w:rPr>
          <w:color w:val="000000"/>
        </w:rPr>
        <w:t>”</w:t>
      </w:r>
      <w:r>
        <w:rPr>
          <w:rFonts w:ascii="Times New Roman;sans-serif" w:hAnsi="Times New Roman;sans-serif"/>
          <w:b w:val="false"/>
          <w:color w:val="000000"/>
          <w:sz w:val="22"/>
        </w:rPr>
        <w:t xml:space="preserve">: (i) any Foreign Subsidiary that is not a Material Foreign Subsidiary or that cannot become a Guarantor and/or provide Liens to secure the Obligations due to the application of the Agreed Security Principles, (ii) any Subsidiary to the extent that the provision of a guarantee from such entity would result in material adverse tax consequences to the Borrower or any of the Subsidiaries (as reasonably determined by the Borrower in consultation with the Administrative Agent in good faith), (iii) each Subsidiary to the extent that such Subsidiary is prohibited by any applicable Requirement of Law from guaranteeing the Obligations but only for so long as such prohibition remains in effect, (iv) any Immaterial Subsidiary, (v) each Subsidiary if, and for so long as, the guarantee of the Obligations by such Subsidiary would require the consent, approval, license or authorization of a Governmental Authority or under any binding Contractual Obligation with any Person other than the Borrower or any Subsidiary existing on the Closing Date (or, if later, the date such Subsidiary is acquired or the date such Contractual Obligation is entered into (so long as such Contractual Obligation is not incurred for the sole purpose of making such Subsidiary an Excluded Subsidiary), except to the extent such consent, approval, license or authorization has actually been obtained), (vi) each Subsidiary that is a not-for-profit organization, (vii) each Captive Insurance Subsidiary, (viii) any Subsidiary to the extent that the costs of a guarantee from such Subsidiary would be excessive relative to the expected benefits to be obtained by the Secured Parties from such guarantee (as reasonably determined by the Borrower and the Administrative Agent in good faith), and (ix) any Subsidiary formed or acquired after the Closing Date that is a bona fide joint venture with a non-affiliated third party.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Excluded Taxes</w:t>
      </w:r>
      <w:r>
        <w:rPr>
          <w:color w:val="000000"/>
        </w:rPr>
        <w:t>”</w:t>
      </w:r>
      <w:r>
        <w:rPr>
          <w:rFonts w:ascii="Times New Roman;sans-serif" w:hAnsi="Times New Roman;sans-serif"/>
          <w:b w:val="false"/>
          <w:color w:val="000000"/>
          <w:sz w:val="22"/>
        </w:rPr>
        <w:t xml:space="preserve">: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any Lender, U.S.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60705"/>
                <wp:effectExtent l="0" t="0" r="0" b="0"/>
                <wp:wrapNone/>
                <wp:docPr id="143" name="Frame14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2.23) or becomes a Lender hereunder or (ii) such Lender changes its lending office, except in each case to the extent that, pursuant to Section 2.20, amounts with respect to such Taxes were payable either to such Lender’s assignor immediately before such Lender became a party hereto or to such Lender immediately before it changed its lending office, (c) Taxes attributable to such Recipient’s failure to comply with Section 2.20(f), and (d) any Taxes imposed under FATCA.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Existing Capped Call Transactions</w:t>
      </w:r>
      <w:r>
        <w:rPr>
          <w:color w:val="000000"/>
        </w:rPr>
        <w:t>”</w:t>
      </w:r>
      <w:r>
        <w:rPr>
          <w:rFonts w:ascii="Times New Roman;sans-serif" w:hAnsi="Times New Roman;sans-serif"/>
          <w:b w:val="false"/>
          <w:color w:val="000000"/>
          <w:sz w:val="22"/>
        </w:rPr>
        <w:t xml:space="preserve">: the capped call transactions outstanding as of the Closing Date and entered into in connection with the Existing Convertible Notes.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Existing Convertible Notes</w:t>
      </w:r>
      <w:r>
        <w:rPr>
          <w:color w:val="000000"/>
        </w:rPr>
        <w:t>”</w:t>
      </w:r>
      <w:r>
        <w:rPr>
          <w:rFonts w:ascii="Times New Roman;sans-serif" w:hAnsi="Times New Roman;sans-serif"/>
          <w:b w:val="false"/>
          <w:color w:val="000000"/>
          <w:sz w:val="22"/>
        </w:rPr>
        <w:t>: the 2.50% Convertible Senior Notes due 2025 issued under that certain Indenture between the Borrower and U.S. Bank Trust Company, National Association (as successor in interest to U.S. Bank National Association) dated as of April 14, 2020</w:t>
      </w:r>
      <w:r>
        <w:rPr>
          <w:color w:val="000000"/>
          <w:shd w:fill="FFFFFF" w:val="clear"/>
        </w:rPr>
        <w:t xml:space="preserve"> </w:t>
      </w:r>
      <w:r>
        <w:rPr>
          <w:rFonts w:ascii="Times New Roman;sans-serif" w:hAnsi="Times New Roman;sans-serif"/>
          <w:b w:val="false"/>
          <w:color w:val="000000"/>
          <w:sz w:val="22"/>
          <w:shd w:fill="FFFFFF" w:val="clear"/>
        </w:rPr>
        <w:t xml:space="preserve">that are </w:t>
      </w:r>
      <w:r>
        <w:rPr>
          <w:rFonts w:ascii="Times New Roman;sans-serif" w:hAnsi="Times New Roman;sans-serif"/>
          <w:b w:val="false"/>
          <w:color w:val="000000"/>
          <w:sz w:val="22"/>
        </w:rPr>
        <w:t>outstanding immediately prior to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Existing Convertible Notes Redemption</w:t>
      </w:r>
      <w:r>
        <w:rPr>
          <w:color w:val="000000"/>
        </w:rPr>
        <w:t>”</w:t>
      </w:r>
      <w:r>
        <w:rPr>
          <w:rFonts w:ascii="Times New Roman;sans-serif" w:hAnsi="Times New Roman;sans-serif"/>
          <w:b w:val="false"/>
          <w:color w:val="000000"/>
          <w:sz w:val="22"/>
        </w:rPr>
        <w:t>: the repayment, prepayment, redemption (upon satisfaction of a condition related to the stock price of the Borrower’s common stock), repurchase or payment of cash due upon conversion, in each case by the Borrower, of any or all outstanding obligations owing under or in connection with the Existing Convertible Notes.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Existing Convertible Notes Redemption Amount</w:t>
      </w:r>
      <w:r>
        <w:rPr>
          <w:color w:val="000000"/>
        </w:rPr>
        <w:t>”</w:t>
      </w:r>
      <w:r>
        <w:rPr>
          <w:rFonts w:ascii="Times New Roman;sans-serif" w:hAnsi="Times New Roman;sans-serif"/>
          <w:b w:val="false"/>
          <w:color w:val="000000"/>
          <w:sz w:val="22"/>
        </w:rPr>
        <w:t xml:space="preserve">: as of any date of determination, the sum of (i) the aggregate principal amount of the Existing Convertible Notes outstanding as of such date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(ii) the aggregate amount of the interest and fees thereon that will accrue from such date of determination through the scheduled maturity date for the Existing Convertible Notes (assuming the outstanding Existing Convertible Notes on the Closing Date are redeemed at the scheduled maturity date therefor).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Existing Investments</w:t>
      </w:r>
      <w:r>
        <w:rPr>
          <w:color w:val="000000"/>
        </w:rPr>
        <w:t>”</w:t>
      </w:r>
      <w:r>
        <w:rPr>
          <w:rFonts w:ascii="Times New Roman;sans-serif" w:hAnsi="Times New Roman;sans-serif"/>
          <w:b w:val="false"/>
          <w:color w:val="000000"/>
          <w:sz w:val="22"/>
        </w:rPr>
        <w:t>: all investments of the Borrower as of the Closing Date that meet the requirements of the Borrower’s investment policy, as identified to the Administrative Agent by the Borrower prior to the Closing Date in the xlsx. file entitled “Investment Portfolio Breakdown 7.11.24” delivered to the Administrative Agent’s counsel on July 12, 2024.</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Extended Lender</w:t>
      </w:r>
      <w:r>
        <w:rPr>
          <w:color w:val="000000"/>
        </w:rPr>
        <w:t>”</w:t>
      </w:r>
      <w:r>
        <w:rPr>
          <w:rFonts w:ascii="Times New Roman;sans-serif" w:hAnsi="Times New Roman;sans-serif"/>
          <w:b w:val="false"/>
          <w:color w:val="000000"/>
          <w:sz w:val="22"/>
        </w:rPr>
        <w:t>: as defined in Section 10.1(i)(3).</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Extended Loans</w:t>
      </w:r>
      <w:r>
        <w:rPr>
          <w:color w:val="000000"/>
        </w:rPr>
        <w:t>”</w:t>
      </w:r>
      <w:r>
        <w:rPr>
          <w:rFonts w:ascii="Times New Roman;sans-serif" w:hAnsi="Times New Roman;sans-serif"/>
          <w:b w:val="false"/>
          <w:color w:val="000000"/>
          <w:sz w:val="22"/>
        </w:rPr>
        <w:t>: as defined in Section 10.1(i)(3).</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Extension</w:t>
      </w:r>
      <w:r>
        <w:rPr>
          <w:color w:val="000000"/>
        </w:rPr>
        <w:t>”</w:t>
      </w:r>
      <w:r>
        <w:rPr>
          <w:rFonts w:ascii="Times New Roman;sans-serif" w:hAnsi="Times New Roman;sans-serif"/>
          <w:b w:val="false"/>
          <w:color w:val="000000"/>
          <w:sz w:val="22"/>
        </w:rPr>
        <w:t>: as defined in Section 10.1(i).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Extension Amendment</w:t>
      </w:r>
      <w:r>
        <w:rPr>
          <w:color w:val="000000"/>
        </w:rPr>
        <w:t>”</w:t>
      </w:r>
      <w:r>
        <w:rPr>
          <w:rFonts w:ascii="Times New Roman;sans-serif" w:hAnsi="Times New Roman;sans-serif"/>
          <w:b w:val="false"/>
          <w:color w:val="000000"/>
          <w:sz w:val="22"/>
        </w:rPr>
        <w:t>: as defined in Section 10.1(i).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Extension Offer</w:t>
      </w:r>
      <w:r>
        <w:rPr>
          <w:color w:val="000000"/>
        </w:rPr>
        <w:t>”</w:t>
      </w:r>
      <w:r>
        <w:rPr>
          <w:rFonts w:ascii="Times New Roman;sans-serif" w:hAnsi="Times New Roman;sans-serif"/>
          <w:b w:val="false"/>
          <w:color w:val="000000"/>
          <w:sz w:val="22"/>
        </w:rPr>
        <w:t>: as defined in Section 10.1(i).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Extraordinary Receipts</w:t>
      </w:r>
      <w:r>
        <w:rPr>
          <w:color w:val="000000"/>
        </w:rPr>
        <w:t>”</w:t>
      </w:r>
      <w:r>
        <w:rPr>
          <w:rFonts w:ascii="Times New Roman;sans-serif" w:hAnsi="Times New Roman;sans-serif"/>
          <w:b w:val="false"/>
          <w:color w:val="000000"/>
          <w:sz w:val="22"/>
        </w:rPr>
        <w:t xml:space="preserve">: any cash received by a Loan Party or any Subsidiary thereof not in the ordinary course of business that is in excess of $[***] individually and consists of (i) judgments, proceeds of settlements, or other consideration of any kind in connection with any cause of action (other than with respect to any payments in connection with accounts receivable owed to such Loan Party or Subsidiary pursuant to bankruptcy settlements, discounting or similar of such accounts receivable), and (ii) indemnity payments (except to the extent used to pay related liabilities owing to third parties unaffiliated with the Loan Parties), in each case, net of taxes paid or the Borrower’s good faith estimation of income,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60705"/>
                <wp:effectExtent l="0" t="0" r="0" b="0"/>
                <wp:wrapNone/>
                <wp:docPr id="144" name="Frame14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franchise, sales and other applicable taxes required to be paid as a result of such Extraordinary Receipt and other bona fide costs, fees and expenses actually incurred in connection with such Extraordinary Receipt.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Facilities</w:t>
      </w:r>
      <w:r>
        <w:rPr>
          <w:color w:val="000000"/>
        </w:rPr>
        <w:t>”</w:t>
      </w:r>
      <w:r>
        <w:rPr>
          <w:rFonts w:ascii="Times New Roman;sans-serif" w:hAnsi="Times New Roman;sans-serif"/>
          <w:b w:val="false"/>
          <w:color w:val="000000"/>
          <w:sz w:val="22"/>
        </w:rPr>
        <w:t>: the collective reference to the Commitments and the Loans made hereunder; and “</w:t>
      </w:r>
      <w:r>
        <w:rPr>
          <w:rFonts w:ascii="Times New Roman;sans-serif" w:hAnsi="Times New Roman;sans-serif"/>
          <w:b/>
          <w:i/>
          <w:color w:val="000000"/>
          <w:sz w:val="22"/>
        </w:rPr>
        <w:t>Facility</w:t>
      </w:r>
      <w:r>
        <w:rPr>
          <w:color w:val="000000"/>
        </w:rPr>
        <w:t xml:space="preserve">” </w:t>
      </w:r>
      <w:r>
        <w:rPr>
          <w:rFonts w:ascii="Times New Roman;sans-serif" w:hAnsi="Times New Roman;sans-serif"/>
          <w:b w:val="false"/>
          <w:color w:val="000000"/>
          <w:sz w:val="22"/>
        </w:rPr>
        <w:t>is an individual facility in respect of a Tranche as the context may require.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FASB ASC</w:t>
      </w:r>
      <w:r>
        <w:rPr>
          <w:color w:val="000000"/>
        </w:rPr>
        <w:t>”</w:t>
      </w:r>
      <w:r>
        <w:rPr>
          <w:rFonts w:ascii="Times New Roman;sans-serif" w:hAnsi="Times New Roman;sans-serif"/>
          <w:b w:val="false"/>
          <w:color w:val="000000"/>
          <w:sz w:val="22"/>
        </w:rPr>
        <w:t>: the Accounting Standards Codification of the Financial Accounting Standards Board.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FATCA</w:t>
      </w:r>
      <w:r>
        <w:rPr>
          <w:color w:val="000000"/>
        </w:rPr>
        <w:t>”</w:t>
      </w:r>
      <w:r>
        <w:rPr>
          <w:rFonts w:ascii="Times New Roman;sans-serif" w:hAnsi="Times New Roman;sans-serif"/>
          <w:b w:val="false"/>
          <w:color w:val="000000"/>
          <w:sz w:val="22"/>
        </w:rPr>
        <w:t xml:space="preserve">: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any intergovernmental agreement entered into in connection with the implementation of such Sections of the Code, and any fiscal or regulatory legislation, rules or practices adopted pursuant to any intergovernmental agreement, treaty or convention implementing such sections of the Code.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Federal Funds Effective Rate</w:t>
      </w:r>
      <w:r>
        <w:rPr>
          <w:color w:val="000000"/>
        </w:rPr>
        <w:t>”</w:t>
      </w:r>
      <w:r>
        <w:rPr>
          <w:rFonts w:ascii="Times New Roman;sans-serif" w:hAnsi="Times New Roman;sans-serif"/>
          <w:b w:val="false"/>
          <w:color w:val="000000"/>
          <w:sz w:val="22"/>
        </w:rPr>
        <w:t xml:space="preserve">: for any day, the rate </w:t>
      </w:r>
      <w:r>
        <w:rPr>
          <w:rFonts w:ascii="Times New Roman;sans-serif" w:hAnsi="Times New Roman;sans-serif"/>
          <w:b w:val="false"/>
          <w:i/>
          <w:color w:val="000000"/>
          <w:sz w:val="22"/>
        </w:rPr>
        <w:t>per annum</w:t>
      </w:r>
      <w:r>
        <w:rPr>
          <w:color w:val="000000"/>
        </w:rPr>
        <w:t xml:space="preserve"> </w:t>
      </w:r>
      <w:r>
        <w:rPr>
          <w:rFonts w:ascii="Times New Roman;sans-serif" w:hAnsi="Times New Roman;sans-serif"/>
          <w:b w:val="false"/>
          <w:color w:val="000000"/>
          <w:sz w:val="22"/>
        </w:rPr>
        <w:t>equal to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of such transactions received by the Administrative Agent from three federal funds brokers of recognized standing selected by it.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Federal Reserve Board</w:t>
      </w:r>
      <w:r>
        <w:rPr>
          <w:color w:val="000000"/>
        </w:rPr>
        <w:t xml:space="preserve">” </w:t>
      </w:r>
      <w:r>
        <w:rPr>
          <w:rFonts w:ascii="Times New Roman;sans-serif" w:hAnsi="Times New Roman;sans-serif"/>
          <w:b w:val="false"/>
          <w:color w:val="000000"/>
          <w:sz w:val="22"/>
        </w:rPr>
        <w:t>the Board of Governors of the Federal Reserve System of the United States.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Fee Letter</w:t>
      </w:r>
      <w:r>
        <w:rPr>
          <w:color w:val="000000"/>
        </w:rPr>
        <w:t>”</w:t>
      </w:r>
      <w:r>
        <w:rPr>
          <w:rFonts w:ascii="Times New Roman;sans-serif" w:hAnsi="Times New Roman;sans-serif"/>
          <w:b w:val="false"/>
          <w:color w:val="000000"/>
          <w:sz w:val="22"/>
        </w:rPr>
        <w:t>: that certain Fee Letter, dated as of June 25, 2024, by and between the Borrower and Silver Point.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Financial Leverage Covenants</w:t>
      </w:r>
      <w:r>
        <w:rPr>
          <w:color w:val="000000"/>
        </w:rPr>
        <w:t>”</w:t>
      </w:r>
      <w:r>
        <w:rPr>
          <w:rFonts w:ascii="Times New Roman;sans-serif" w:hAnsi="Times New Roman;sans-serif"/>
          <w:b w:val="false"/>
          <w:color w:val="000000"/>
          <w:sz w:val="22"/>
        </w:rPr>
        <w:t>: the collective references to the ARR Leverage Covenant and the EBITDA Based Leverage Covenant (in each case, to the extent then in effect).</w:t>
      </w:r>
    </w:p>
    <w:p>
      <w:pPr>
        <w:pStyle w:val="TextBody"/>
        <w:bidi w:val="0"/>
        <w:spacing w:lineRule="auto" w:line="288" w:before="0" w:after="240"/>
        <w:ind w:left="0" w:right="0" w:firstLine="720"/>
        <w:jc w:val="both"/>
        <w:rPr/>
      </w:pPr>
      <w:r>
        <w:rPr>
          <w:color w:val="231F20"/>
        </w:rPr>
        <w:t>“</w:t>
      </w:r>
      <w:r>
        <w:rPr>
          <w:rFonts w:ascii="Times New Roman;sans-serif" w:hAnsi="Times New Roman;sans-serif"/>
          <w:b/>
          <w:i/>
          <w:color w:val="231F20"/>
          <w:sz w:val="22"/>
        </w:rPr>
        <w:t>Floor</w:t>
      </w:r>
      <w:r>
        <w:rPr>
          <w:color w:val="231F20"/>
        </w:rPr>
        <w:t>”</w:t>
      </w:r>
      <w:r>
        <w:rPr>
          <w:rFonts w:ascii="Times New Roman;sans-serif" w:hAnsi="Times New Roman;sans-serif"/>
          <w:b w:val="false"/>
          <w:color w:val="231F20"/>
          <w:sz w:val="22"/>
        </w:rPr>
        <w:t>:</w:t>
      </w:r>
      <w:r>
        <w:rPr>
          <w:color w:val="231F20"/>
        </w:rPr>
        <w:t xml:space="preserve"> </w:t>
      </w:r>
      <w:r>
        <w:rPr>
          <w:rFonts w:ascii="Times New Roman;sans-serif" w:hAnsi="Times New Roman;sans-serif"/>
          <w:b w:val="false"/>
          <w:color w:val="231F20"/>
          <w:sz w:val="22"/>
        </w:rPr>
        <w:t xml:space="preserve">1.00% </w:t>
      </w:r>
      <w:r>
        <w:rPr>
          <w:rFonts w:ascii="Times New Roman;sans-serif" w:hAnsi="Times New Roman;sans-serif"/>
          <w:b w:val="false"/>
          <w:i/>
          <w:color w:val="231F20"/>
          <w:sz w:val="22"/>
        </w:rPr>
        <w:t>per annum</w:t>
      </w:r>
      <w:r>
        <w:rPr>
          <w:rFonts w:ascii="Times New Roman;sans-serif" w:hAnsi="Times New Roman;sans-serif"/>
          <w:b w:val="false"/>
          <w:color w:val="231F20"/>
          <w:sz w:val="22"/>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Foreign Lender</w:t>
      </w:r>
      <w:r>
        <w:rPr>
          <w:color w:val="000000"/>
        </w:rPr>
        <w:t>”</w:t>
      </w:r>
      <w:r>
        <w:rPr>
          <w:rFonts w:ascii="Times New Roman;sans-serif" w:hAnsi="Times New Roman;sans-serif"/>
          <w:b w:val="false"/>
          <w:color w:val="000000"/>
          <w:sz w:val="22"/>
        </w:rPr>
        <w:t>: a Lender that is not a U.S. Person (including a Lender that is disregarded for U.S. federal income tax purposes whose regarded tax owner is not a U.S.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Foreign Security Documents</w:t>
      </w:r>
      <w:r>
        <w:rPr>
          <w:color w:val="000000"/>
        </w:rPr>
        <w:t>”</w:t>
      </w:r>
      <w:r>
        <w:rPr>
          <w:rFonts w:ascii="Times New Roman;sans-serif" w:hAnsi="Times New Roman;sans-serif"/>
          <w:b w:val="false"/>
          <w:color w:val="000000"/>
          <w:sz w:val="22"/>
        </w:rPr>
        <w:t>: the collective reference to all Security Documents hereafter delivered to the Administrative Agent granting a Lien on any property of any Person to secure the Obligations of any Loan Party arising under any Loan Document that are, in each case, governed by the laws of a jurisdiction other than the United States, any state thereof, or the District of Columbia.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Foreign Subsidiary</w:t>
      </w:r>
      <w:r>
        <w:rPr>
          <w:color w:val="000000"/>
        </w:rPr>
        <w:t>”</w:t>
      </w:r>
      <w:r>
        <w:rPr>
          <w:rFonts w:ascii="Times New Roman;sans-serif" w:hAnsi="Times New Roman;sans-serif"/>
          <w:b w:val="false"/>
          <w:color w:val="000000"/>
          <w:sz w:val="22"/>
        </w:rPr>
        <w:t>: any Subsidiary of the Borrower that is not a Domestic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Fund</w:t>
      </w:r>
      <w:r>
        <w:rPr>
          <w:color w:val="000000"/>
        </w:rPr>
        <w:t>”</w:t>
      </w:r>
      <w:r>
        <w:rPr>
          <w:rFonts w:ascii="Times New Roman;sans-serif" w:hAnsi="Times New Roman;sans-serif"/>
          <w:b w:val="false"/>
          <w:color w:val="000000"/>
          <w:sz w:val="22"/>
        </w:rPr>
        <w:t>: any Person (other than a natural Person) that is (or will be) engaged in making, purchasing, holding or otherwise investing in commercial loans, bonds and similar extensions of credit in the ordinary course of its activities.</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60705"/>
                <wp:effectExtent l="0" t="0" r="0" b="0"/>
                <wp:wrapNone/>
                <wp:docPr id="145" name="Frame14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Funding Office</w:t>
      </w:r>
      <w:r>
        <w:rPr>
          <w:color w:val="000000"/>
        </w:rPr>
        <w:t>”</w:t>
      </w:r>
      <w:r>
        <w:rPr>
          <w:rFonts w:ascii="Times New Roman;sans-serif" w:hAnsi="Times New Roman;sans-serif"/>
          <w:b w:val="false"/>
          <w:color w:val="000000"/>
          <w:sz w:val="22"/>
        </w:rPr>
        <w:t xml:space="preserve">: the office of the Administrative Agent specified in </w:t>
      </w:r>
      <w:r>
        <w:rPr>
          <w:rFonts w:ascii="Times New Roman;sans-serif" w:hAnsi="Times New Roman;sans-serif"/>
          <w:b w:val="false"/>
          <w:color w:val="000000"/>
          <w:sz w:val="22"/>
          <w:u w:val="single"/>
        </w:rPr>
        <w:t>Section 10.2</w:t>
      </w:r>
      <w:r>
        <w:rPr>
          <w:color w:val="000000"/>
        </w:rPr>
        <w:t xml:space="preserve"> </w:t>
      </w:r>
      <w:r>
        <w:rPr>
          <w:rFonts w:ascii="Times New Roman;sans-serif" w:hAnsi="Times New Roman;sans-serif"/>
          <w:b w:val="false"/>
          <w:color w:val="000000"/>
          <w:sz w:val="22"/>
        </w:rPr>
        <w:t>or such other office as may be specified from time to time by the Administrative Agent as its funding office by written notice to the Borrower and the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GAAP</w:t>
      </w:r>
      <w:r>
        <w:rPr>
          <w:color w:val="000000"/>
        </w:rPr>
        <w:t>”</w:t>
      </w:r>
      <w:r>
        <w:rPr>
          <w:rFonts w:ascii="Times New Roman;sans-serif" w:hAnsi="Times New Roman;sans-serif"/>
          <w:b w:val="false"/>
          <w:color w:val="000000"/>
          <w:sz w:val="22"/>
        </w:rPr>
        <w:t>: generally accepted accounting principles in the United States as in effect from time to time. In the event that any “</w:t>
      </w:r>
      <w:r>
        <w:rPr>
          <w:rFonts w:ascii="Times New Roman;sans-serif" w:hAnsi="Times New Roman;sans-serif"/>
          <w:b/>
          <w:i/>
          <w:color w:val="000000"/>
          <w:sz w:val="22"/>
        </w:rPr>
        <w:t>Accounting Change</w:t>
      </w:r>
      <w:r>
        <w:rPr>
          <w:color w:val="000000"/>
        </w:rPr>
        <w:t xml:space="preserve">” </w:t>
      </w:r>
      <w:r>
        <w:rPr>
          <w:rFonts w:ascii="Times New Roman;sans-serif" w:hAnsi="Times New Roman;sans-serif"/>
          <w:b w:val="false"/>
          <w:color w:val="000000"/>
          <w:sz w:val="22"/>
        </w:rPr>
        <w:t>(as defined below) shall occur and such change results in a change in the method of calculation of financial covenants, standards or terms in this Agreement, then the Borrower and the Administrative Agent agree to enter into negotiations to amend such provisions of this Agreement so as to reflect equitably such Accounting Changes with the desired result that the criteria for evaluating the Group Members’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w:t>
      </w:r>
      <w:r>
        <w:rPr>
          <w:rFonts w:ascii="Times New Roman;sans-serif" w:hAnsi="Times New Roman;sans-serif"/>
          <w:b/>
          <w:i/>
          <w:color w:val="000000"/>
          <w:sz w:val="22"/>
        </w:rPr>
        <w:t>Accounting Changes</w:t>
      </w:r>
      <w:r>
        <w:rPr>
          <w:color w:val="000000"/>
        </w:rPr>
        <w:t xml:space="preserve">” </w:t>
      </w:r>
      <w:r>
        <w:rPr>
          <w:rFonts w:ascii="Times New Roman;sans-serif" w:hAnsi="Times New Roman;sans-serif"/>
          <w:b w:val="false"/>
          <w:color w:val="000000"/>
          <w:sz w:val="22"/>
        </w:rPr>
        <w:t xml:space="preserve">refers to changes in accounting principles required by the promulgation of any rule, regulation, pronouncement or opinion by the Financial Accounting Standards Board or, if applicable, the SEC, or the adoption of IFRS.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Governmental Approval</w:t>
      </w:r>
      <w:r>
        <w:rPr>
          <w:color w:val="000000"/>
        </w:rPr>
        <w:t>”</w:t>
      </w:r>
      <w:r>
        <w:rPr>
          <w:rFonts w:ascii="Times New Roman;sans-serif" w:hAnsi="Times New Roman;sans-serif"/>
          <w:b w:val="false"/>
          <w:color w:val="000000"/>
          <w:sz w:val="22"/>
        </w:rPr>
        <w:t>: any consent, authorization, approval, order, license, franchise, Health Care Permit, certificate, accreditation, registration, filing or notice, of, issued by, from or to, or other act by or in respect of, any Governmental Authority.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Governmental Authority</w:t>
      </w:r>
      <w:r>
        <w:rPr>
          <w:color w:val="000000"/>
        </w:rPr>
        <w:t>”</w:t>
      </w:r>
      <w:r>
        <w:rPr>
          <w:rFonts w:ascii="Times New Roman;sans-serif" w:hAnsi="Times New Roman;sans-serif"/>
          <w:b w:val="false"/>
          <w:color w:val="000000"/>
          <w:sz w:val="22"/>
        </w:rPr>
        <w:t>: the government of the United States of America or any other nation, or of any political subdivision thereof, whether state or local, and any agency, authority, instrumentality, department, office, bureau, division, official, rate setting agency, board, commission or entity, or any self-regulated organization other non-governmental regulatory authority or entity or quasi-governmental authority or entity, regulatory body, court, central bank or other entity, in each case, exercising executive, legislative, judicial, taxing, regulatory or administrative powers or functions of or pertaining to government (including any supra-national bodies such as the European Union or the European Central Bank), and any group or body charged with setting accounting or regulatory capital rules or standards (including the Financial Standards Board, the Bank for International Settlements, the Basel Committee on Banking Supervision and any successor or similar authority to any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Government Program</w:t>
      </w:r>
      <w:r>
        <w:rPr>
          <w:color w:val="000000"/>
        </w:rPr>
        <w:t>”</w:t>
      </w:r>
      <w:r>
        <w:rPr>
          <w:rFonts w:ascii="Times New Roman;sans-serif" w:hAnsi="Times New Roman;sans-serif"/>
          <w:b w:val="false"/>
          <w:color w:val="000000"/>
          <w:sz w:val="22"/>
        </w:rPr>
        <w:t>: (i) Medicare (including Medicare Advantage), Medicaid (including managed Medicaid), the Children’s Health Insurance Program, the Veterans Health Administration (including CHAMPVA), TRICARE and any other Federal health care program, as defined in 42 U.S.C. § 1320a-7b(f); and (ii) any health insurance program for the benefit of federal employees, including those under chapter 89 of title 5, United States Code; and (iii) any other health care program administered by a Governmental Authority.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Grantor</w:t>
      </w:r>
      <w:r>
        <w:rPr>
          <w:color w:val="000000"/>
        </w:rPr>
        <w:t>”</w:t>
      </w:r>
      <w:r>
        <w:rPr>
          <w:rFonts w:ascii="Times New Roman;sans-serif" w:hAnsi="Times New Roman;sans-serif"/>
          <w:b w:val="false"/>
          <w:color w:val="000000"/>
          <w:sz w:val="22"/>
        </w:rPr>
        <w:t>: is defined in the Guarantee and Collateral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Group Members</w:t>
      </w:r>
      <w:r>
        <w:rPr>
          <w:color w:val="000000"/>
        </w:rPr>
        <w:t>”</w:t>
      </w:r>
      <w:r>
        <w:rPr>
          <w:rFonts w:ascii="Times New Roman;sans-serif" w:hAnsi="Times New Roman;sans-serif"/>
          <w:b w:val="false"/>
          <w:color w:val="000000"/>
          <w:sz w:val="22"/>
        </w:rPr>
        <w:t>: the collective reference to the Borrower and its Subsidiaries.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Guarantee and Collateral Agreement</w:t>
      </w:r>
      <w:r>
        <w:rPr>
          <w:color w:val="000000"/>
        </w:rPr>
        <w:t>”</w:t>
      </w:r>
      <w:r>
        <w:rPr>
          <w:rFonts w:ascii="Times New Roman;sans-serif" w:hAnsi="Times New Roman;sans-serif"/>
          <w:b w:val="false"/>
          <w:color w:val="000000"/>
          <w:sz w:val="22"/>
        </w:rPr>
        <w:t>: the Guarantee and Collateral Agreement dated as of the Closing Date by and among the Loan Parties and the Administrative Agent, as amended, supplemented or otherwise modified.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Guarantee Obligation</w:t>
      </w:r>
      <w:r>
        <w:rPr>
          <w:color w:val="000000"/>
        </w:rPr>
        <w:t>”</w:t>
      </w:r>
      <w:r>
        <w:rPr>
          <w:rFonts w:ascii="Times New Roman;sans-serif" w:hAnsi="Times New Roman;sans-serif"/>
          <w:b w:val="false"/>
          <w:color w:val="000000"/>
          <w:sz w:val="22"/>
        </w:rPr>
        <w:t>: as to any Person (the “</w:t>
      </w:r>
      <w:r>
        <w:rPr>
          <w:rFonts w:ascii="Times New Roman;sans-serif" w:hAnsi="Times New Roman;sans-serif"/>
          <w:b/>
          <w:i/>
          <w:color w:val="000000"/>
          <w:sz w:val="22"/>
        </w:rPr>
        <w:t>guaranteeing person</w:t>
      </w:r>
      <w:r>
        <w:rPr>
          <w:color w:val="000000"/>
        </w:rPr>
        <w:t>”</w:t>
      </w:r>
      <w:r>
        <w:rPr>
          <w:rFonts w:ascii="Times New Roman;sans-serif" w:hAnsi="Times New Roman;sans-serif"/>
          <w:b w:val="false"/>
          <w:color w:val="000000"/>
          <w:sz w:val="22"/>
        </w:rPr>
        <w:t xml:space="preserve">), any obligation, including a reimbursement, counterindemnity or similar obligation, of the guaranteeing person that guarantees or in effect guarantees, or which is given to induce the creation of a separate obligation by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60705"/>
                <wp:effectExtent l="0" t="0" r="0" b="0"/>
                <wp:wrapNone/>
                <wp:docPr id="146" name="Frame14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another Person (including any bank under any letter of credit) that guarantees or in effect guarantees, any Indebtedness, leases, dividends or other obligations (the “</w:t>
      </w:r>
      <w:r>
        <w:rPr>
          <w:rFonts w:ascii="Times New Roman;sans-serif" w:hAnsi="Times New Roman;sans-serif"/>
          <w:b/>
          <w:i/>
          <w:color w:val="000000"/>
          <w:sz w:val="22"/>
        </w:rPr>
        <w:t>primary obligations</w:t>
      </w:r>
      <w:r>
        <w:rPr>
          <w:color w:val="000000"/>
        </w:rPr>
        <w:t>”</w:t>
      </w:r>
      <w:r>
        <w:rPr>
          <w:rFonts w:ascii="Times New Roman;sans-serif" w:hAnsi="Times New Roman;sans-serif"/>
          <w:b w:val="false"/>
          <w:color w:val="000000"/>
          <w:sz w:val="22"/>
        </w:rPr>
        <w:t>) of any other third Person (the “</w:t>
      </w:r>
      <w:r>
        <w:rPr>
          <w:rFonts w:ascii="Times New Roman;sans-serif" w:hAnsi="Times New Roman;sans-serif"/>
          <w:b/>
          <w:i/>
          <w:color w:val="000000"/>
          <w:sz w:val="22"/>
        </w:rPr>
        <w:t>primary obligor</w:t>
      </w:r>
      <w:r>
        <w:rPr>
          <w:color w:val="000000"/>
        </w:rPr>
        <w:t>”</w:t>
      </w:r>
      <w:r>
        <w:rPr>
          <w:rFonts w:ascii="Times New Roman;sans-serif" w:hAnsi="Times New Roman;sans-serif"/>
          <w:b w:val="false"/>
          <w:color w:val="000000"/>
          <w:sz w:val="22"/>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Guarantors</w:t>
      </w:r>
      <w:r>
        <w:rPr>
          <w:color w:val="000000"/>
        </w:rPr>
        <w:t>”</w:t>
      </w:r>
      <w:r>
        <w:rPr>
          <w:rFonts w:ascii="Times New Roman;sans-serif" w:hAnsi="Times New Roman;sans-serif"/>
          <w:b w:val="false"/>
          <w:color w:val="000000"/>
          <w:sz w:val="22"/>
        </w:rPr>
        <w:t xml:space="preserve">: a collective reference to each Subsidiary of the Borrower, that is not an Excluded Subsidiary, in each case, to the extent any such Person is a Guarantor on the Closing Date or has become a Guarantor pursuant to the requirements of Section 6.12 hereof and/or the Guarantee and Collateral Agreement. For the avoidance of doubt, no Excluded Subsidiary shall be required to be a Guarantor under this Agreement or any other Loan Document (but the Borrower may, in its sole discretion, choose to cause an Excluded Subsidiary to be a Guarantor at any time;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if such Excluded Subsidiary is a Foreign Subsidiary the Borrower shall obtain the prior written consent of the Administrative Agent (in its reasonable discretion)). The Subsidiaries of the Borrower that are Guarantors as of the Closing Date are set forth on Schedule 1.1B.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Health Care Laws</w:t>
      </w:r>
      <w:r>
        <w:rPr>
          <w:color w:val="000000"/>
        </w:rPr>
        <w:t>”</w:t>
      </w:r>
      <w:r>
        <w:rPr>
          <w:rFonts w:ascii="Times New Roman;sans-serif" w:hAnsi="Times New Roman;sans-serif"/>
          <w:b w:val="false"/>
          <w:color w:val="000000"/>
          <w:sz w:val="22"/>
        </w:rPr>
        <w:t xml:space="preserve">: (a) any and all health care laws enforced by a Governmental Authority governing the provision of, or ordering or arranging for, health care items, or services, the billing, coding or payment therefor, or the administration thereof, including Title XVIII of the Social Security Act, 42 U.S.C. §§ 1395-1395lll (the Medicare statute); Title XIX of the Social Security Act, 42 U.S.C. §§ 1396-1396w-5 (the Medicaid statute); the Federal Health Care Program Anti-Kickback Statute, 42 U.S.C. § 1320a-7b(b); the False Claims Act, as amended, 31 U.S.C. §§ 3729-3733; the Program Fraud Civil Remedies Act, 31 U.S.C. §§ 3801-3812; the Anti-Kickback Act of 1986, 41 U.S.C. §§ 51-58; the Civil Monetary Penalties Law, 42 U.S.C. §§ 1320a-7a and 1320a-7b; the Exclusion Laws, 42 U.S.C. § 1320a 7; all pricing laws, health care related billing, coding, submission and processing of cost reports, reimbursement, documentation and submission of claims, state laws regarding the corporate practice of medicine and other licensed professions and fee-splitting; and any regulations promulgated pursuant to any laws listed or referenced in subsection (a) above; and (b) any and all amendments or modifications made thereto to the items referenced in subsection (a) above.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Health Care Permits</w:t>
      </w:r>
      <w:r>
        <w:rPr>
          <w:color w:val="000000"/>
        </w:rPr>
        <w:t>”</w:t>
      </w:r>
      <w:r>
        <w:rPr>
          <w:rFonts w:ascii="Times New Roman;sans-serif" w:hAnsi="Times New Roman;sans-serif"/>
          <w:b w:val="false"/>
          <w:color w:val="000000"/>
          <w:sz w:val="22"/>
        </w:rPr>
        <w:t xml:space="preserve">: any and all licenses, permits, certifications, authorizations, franchises, concessions, variances, exemptions, enrollments, registrations, accreditations, letters of non-reviewability, certificates of need, consents, supplier or provider numbers, qualifications, operating authority, approvals or clearances which are legally required pursuant to any applicable Health Care Laws for the operation of the business of the Borrower and each of its Subsidiaries as currently conducted.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60705"/>
                <wp:effectExtent l="0" t="0" r="0" b="0"/>
                <wp:wrapNone/>
                <wp:docPr id="147" name="Frame14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29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HIPAA</w:t>
      </w:r>
      <w:r>
        <w:rPr>
          <w:color w:val="000000"/>
        </w:rPr>
        <w:t>”</w:t>
      </w:r>
      <w:r>
        <w:rPr>
          <w:rFonts w:ascii="Times New Roman;sans-serif" w:hAnsi="Times New Roman;sans-serif"/>
          <w:b w:val="false"/>
          <w:color w:val="000000"/>
          <w:sz w:val="22"/>
        </w:rPr>
        <w:t>: the following, together with any and all rules or regulations promulgated from time to time thereunder: the Health Insurance Portability and Accountability Act of 1996 as amended by the Health Information Technology for Economic and Clinical Health Act (Title XIII of the American Recovery and Reinvestment Act of 2009).</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IFRS</w:t>
      </w:r>
      <w:r>
        <w:rPr>
          <w:color w:val="000000"/>
        </w:rPr>
        <w:t>”</w:t>
      </w:r>
      <w:r>
        <w:rPr>
          <w:rFonts w:ascii="Times New Roman;sans-serif" w:hAnsi="Times New Roman;sans-serif"/>
          <w:b w:val="false"/>
          <w:color w:val="000000"/>
          <w:sz w:val="22"/>
        </w:rPr>
        <w:t>: international accounting standards within the meaning of IAS Regulation 1606/2002 to the extent applicable to the relevant financial statements delivered under or referred to herein.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Immaterial Subsidiary</w:t>
      </w:r>
      <w:r>
        <w:rPr>
          <w:color w:val="000000"/>
        </w:rPr>
        <w:t>”</w:t>
      </w:r>
      <w:r>
        <w:rPr>
          <w:rFonts w:ascii="Times New Roman;sans-serif" w:hAnsi="Times New Roman;sans-serif"/>
          <w:b w:val="false"/>
          <w:color w:val="000000"/>
          <w:sz w:val="22"/>
        </w:rPr>
        <w:t xml:space="preserve">: at any date of determination, any Subsidiary of the Borrower that has been designated as such by the Borrower in writing and which as of such date (a) holds assets representing 2.5% or less of the Borrower’s consolidated total assets (determined in accordance with GAAP) or (b) has generated 2.5% or less of the Borrower’s consolidated total revenues determined in accordance with GAAP for the four fiscal quarter period ending on the last day of the most recent period for which financial statements have been delivered after the Closing Date pursuant to Section 6.1(c) (or, prior to the first date that financial statements have been delivered pursuant to Section 6.1(c), the period of four consecutive fiscal quarters ending on March 31, 2024);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all Subsidiaries that are individually “Immaterial Subsidiaries” shall not have aggregate consolidated total assets that would represent 5% or more of the Borrower’s consolidated total assets as of such date or have generated 5% or more of the Borrower’s consolidated total revenues for such four fiscal quarter period, in each case determined in accordance with GAAP. No Person may be a Loan Party and simultaneously an Immaterial Subsidiary. For the avoidance of doubt, any Subsidiary that is not a Guarantor or is not required to become a guarantor due to it being an Excluded Subsidiary (other than solely pursuant to clause (iv) of the definition thereof), shall not, in each case, be deemed to be an “Immaterial Subsidiary” when calculating the aggregate consolidated total assets or aggregate consolidated total revenue of “Immaterial Subsidiaries” for purposes of the proviso to the first sentence of this definition.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Incremental Amendment</w:t>
      </w:r>
      <w:r>
        <w:rPr>
          <w:color w:val="000000"/>
        </w:rPr>
        <w:t>”</w:t>
      </w:r>
      <w:r>
        <w:rPr>
          <w:rFonts w:ascii="Times New Roman;sans-serif" w:hAnsi="Times New Roman;sans-serif"/>
          <w:b w:val="false"/>
          <w:color w:val="000000"/>
          <w:sz w:val="22"/>
        </w:rPr>
        <w:t>: as defined in Section 2.27(b)(ii).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Incremental Facility</w:t>
      </w:r>
      <w:r>
        <w:rPr>
          <w:color w:val="000000"/>
        </w:rPr>
        <w:t>”</w:t>
      </w:r>
      <w:r>
        <w:rPr>
          <w:rFonts w:ascii="Times New Roman;sans-serif" w:hAnsi="Times New Roman;sans-serif"/>
          <w:b w:val="false"/>
          <w:color w:val="000000"/>
          <w:sz w:val="22"/>
        </w:rPr>
        <w:t xml:space="preserve">: as defined in Section 2.27(a).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Incremental Joinder</w:t>
      </w:r>
      <w:r>
        <w:rPr>
          <w:color w:val="000000"/>
        </w:rPr>
        <w:t>”</w:t>
      </w:r>
      <w:r>
        <w:rPr>
          <w:rFonts w:ascii="Times New Roman;sans-serif" w:hAnsi="Times New Roman;sans-serif"/>
          <w:b w:val="false"/>
          <w:color w:val="000000"/>
          <w:sz w:val="22"/>
        </w:rPr>
        <w:t>: an instrument, in form and substance reasonably satisfactory to the Administrative Agent, by which a Lender becomes a party to this Agreement pursuant to Section 2.27.</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Incremental Lender</w:t>
      </w:r>
      <w:r>
        <w:rPr>
          <w:color w:val="000000"/>
        </w:rPr>
        <w:t>”</w:t>
      </w:r>
      <w:r>
        <w:rPr>
          <w:rFonts w:ascii="Times New Roman;sans-serif" w:hAnsi="Times New Roman;sans-serif"/>
          <w:b w:val="false"/>
          <w:color w:val="000000"/>
          <w:sz w:val="22"/>
        </w:rPr>
        <w:t>: at any time, any Lender that has an Incremental Commitment or an Incremental Loan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Incremental Loan</w:t>
      </w:r>
      <w:r>
        <w:rPr>
          <w:color w:val="000000"/>
        </w:rPr>
        <w:t>”</w:t>
      </w:r>
      <w:r>
        <w:rPr>
          <w:rFonts w:ascii="Times New Roman;sans-serif" w:hAnsi="Times New Roman;sans-serif"/>
          <w:b w:val="false"/>
          <w:color w:val="000000"/>
          <w:sz w:val="22"/>
        </w:rPr>
        <w:t>: an incremental term loan under any Incremental Facility.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Indebtedness</w:t>
      </w:r>
      <w:r>
        <w:rPr>
          <w:color w:val="000000"/>
        </w:rPr>
        <w:t>”</w:t>
      </w:r>
      <w:r>
        <w:rPr>
          <w:rFonts w:ascii="Times New Roman;sans-serif" w:hAnsi="Times New Roman;sans-serif"/>
          <w:b w:val="false"/>
          <w:color w:val="000000"/>
          <w:sz w:val="22"/>
        </w:rPr>
        <w:t xml:space="preserve">: of any Person at any date, without duplication, (a) all indebtedness of such Person for borrowed money, (b) all Deferred Payment Obligations and other obligations of such Person for the deferred purchase price of property or services, in each case to the extent due and remaining unpaid (other than current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all Synthetic Lease Obligations of such Person, (f) all obligations of such Person, whether or not matured, as an account party or applicant under or in respect of acceptances, letters of credit, surety bonds or similar arrangements, (g) all obligations of such Person to purchase, redeem, retire, defease or otherwise make any payment in respect of any Capital Stock in such Person or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560705"/>
                <wp:effectExtent l="0" t="0" r="0" b="0"/>
                <wp:wrapNone/>
                <wp:docPr id="148" name="Frame14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Person (including Disqualified Stock), or any warrant, right or option to acquire such Capital Stock, valued, in the case of a redeemable preferred interest, at the greater of its voluntary or involuntary liquidation preference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accrued and unpaid dividends,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but limited to the value of the property owned by such Person securing such obligation if such obligations is not otherwise recourse to such Person, and (j) the net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Indemnified Taxes</w:t>
      </w:r>
      <w:r>
        <w:rPr>
          <w:color w:val="000000"/>
        </w:rPr>
        <w:t>”</w:t>
      </w:r>
      <w:r>
        <w:rPr>
          <w:rFonts w:ascii="Times New Roman;sans-serif" w:hAnsi="Times New Roman;sans-serif"/>
          <w:b w:val="false"/>
          <w:color w:val="000000"/>
          <w:sz w:val="22"/>
        </w:rPr>
        <w:t>: (a) Taxes, other than Excluded Taxes, imposed on or with respect to any payment made by or on account of any obligation of any Loan Party under any Loan Document and (b) to the extent not otherwise described in (a), Other Taxes.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Indemnitee</w:t>
      </w:r>
      <w:r>
        <w:rPr>
          <w:color w:val="000000"/>
        </w:rPr>
        <w:t>”</w:t>
      </w:r>
      <w:r>
        <w:rPr>
          <w:rFonts w:ascii="Times New Roman;sans-serif" w:hAnsi="Times New Roman;sans-serif"/>
          <w:b w:val="false"/>
          <w:color w:val="000000"/>
          <w:sz w:val="22"/>
        </w:rPr>
        <w:t>: is defined in Section 10.5(b).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Initial Commitment</w:t>
      </w:r>
      <w:r>
        <w:rPr>
          <w:color w:val="000000"/>
        </w:rPr>
        <w:t>”</w:t>
      </w:r>
      <w:r>
        <w:rPr>
          <w:rFonts w:ascii="Times New Roman;sans-serif" w:hAnsi="Times New Roman;sans-serif"/>
          <w:b w:val="false"/>
          <w:color w:val="000000"/>
          <w:sz w:val="22"/>
        </w:rPr>
        <w:t>: with respect to each Lender at any time, an amount equal to the commitment, if any, of such Lender to make or otherwise fund any Initial Loan pursuant to Section 2.1(a) in an aggregate principal amount equal to the amount set forth opposite such Lender’s name on Schedule 1.1A under the caption “Initial Commitment” or on the applicable Assignment and Assumption. The initial aggregate amount of the Initial Commitments is $125,000,000.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Initial Credit Extension</w:t>
      </w:r>
      <w:r>
        <w:rPr>
          <w:color w:val="000000"/>
        </w:rPr>
        <w:t>”</w:t>
      </w:r>
      <w:r>
        <w:rPr>
          <w:rFonts w:ascii="Times New Roman;sans-serif" w:hAnsi="Times New Roman;sans-serif"/>
          <w:b w:val="false"/>
          <w:color w:val="000000"/>
          <w:sz w:val="22"/>
        </w:rPr>
        <w:t>: is defined in Section 5.1.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Initial DACA Deadline</w:t>
      </w:r>
      <w:r>
        <w:rPr>
          <w:color w:val="000000"/>
        </w:rPr>
        <w:t>”</w:t>
      </w:r>
      <w:r>
        <w:rPr>
          <w:rFonts w:ascii="Times New Roman;sans-serif" w:hAnsi="Times New Roman;sans-serif"/>
          <w:b w:val="false"/>
          <w:color w:val="000000"/>
          <w:sz w:val="22"/>
        </w:rPr>
        <w:t>: is defined in Section 6.17.</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Initial Lender</w:t>
      </w:r>
      <w:r>
        <w:rPr>
          <w:color w:val="000000"/>
        </w:rPr>
        <w:t>”</w:t>
      </w:r>
      <w:r>
        <w:rPr>
          <w:rFonts w:ascii="Times New Roman;sans-serif" w:hAnsi="Times New Roman;sans-serif"/>
          <w:b w:val="false"/>
          <w:color w:val="000000"/>
          <w:sz w:val="22"/>
        </w:rPr>
        <w:t>: at any time, any Lender that has an Initial Commitment or an Initial Loan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Initial Loan</w:t>
      </w:r>
      <w:r>
        <w:rPr>
          <w:color w:val="000000"/>
        </w:rPr>
        <w:t>”</w:t>
      </w:r>
      <w:r>
        <w:rPr>
          <w:rFonts w:ascii="Times New Roman;sans-serif" w:hAnsi="Times New Roman;sans-serif"/>
          <w:b w:val="false"/>
          <w:color w:val="000000"/>
          <w:sz w:val="22"/>
        </w:rPr>
        <w:t>: as defined in Section 2.1(a).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Insolvency Proceeding</w:t>
      </w:r>
      <w:r>
        <w:rPr>
          <w:color w:val="000000"/>
        </w:rPr>
        <w:t>”</w:t>
      </w:r>
      <w:r>
        <w:rPr>
          <w:rFonts w:ascii="Times New Roman;sans-serif" w:hAnsi="Times New Roman;sans-serif"/>
          <w:b w:val="false"/>
          <w:color w:val="000000"/>
          <w:sz w:val="22"/>
        </w:rPr>
        <w:t>: (a) any case, action or proceeding before any court or other Governmental Authority, relating to (i) bankruptcy, suspension of payments, a moratorium of any indebtedness, receivership, administration, examinership, rescue process, reorganization (by way of voluntary arrangement, scheme of arrangement or otherwise), insolvency, liquidation, receivership, dissolution, winding-up or relief of debtors, (ii) any general compromise, arrangement, assignment for the benefit of creditors, composition, marshalling of assets for creditors, or other, similar arrangement in respect of any Person’s creditors generally or any substantial portion of such Person’s creditors, or (iii) the appointment of a liquidator, receiver, examiner, process adviser, administrative receiver, administrator, compulsory manager or other similar officer in relation to any of the foregoing, in each case undertaken under U.S. federal, state or foreign law, including any Debtor Relief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Intellectual Property</w:t>
      </w:r>
      <w:r>
        <w:rPr>
          <w:color w:val="000000"/>
        </w:rPr>
        <w:t>”</w:t>
      </w:r>
      <w:r>
        <w:rPr>
          <w:rFonts w:ascii="Times New Roman;sans-serif" w:hAnsi="Times New Roman;sans-serif"/>
          <w:b w:val="false"/>
          <w:color w:val="000000"/>
          <w:sz w:val="22"/>
        </w:rPr>
        <w:t xml:space="preserve">: the collective reference to all rights, priorities and privileges relating to intellectual property, whether arising under United States, multinational or foreign laws or otherwise, including copyrights, copyright licenses, patents, patent licenses, trademarks, trademark licenses,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560705"/>
                <wp:effectExtent l="0" t="0" r="0" b="0"/>
                <wp:wrapNone/>
                <wp:docPr id="149" name="Frame14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technology, know-how and processes, and all rights to sue at law or in equity for any infringement or other impairment thereof, including the right to receive all proceeds and damages therefrom.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Intellectual Property Security Agreement</w:t>
      </w:r>
      <w:r>
        <w:rPr>
          <w:color w:val="000000"/>
        </w:rPr>
        <w:t>”</w:t>
      </w:r>
      <w:r>
        <w:rPr>
          <w:rFonts w:ascii="Times New Roman;sans-serif" w:hAnsi="Times New Roman;sans-serif"/>
          <w:b w:val="false"/>
          <w:color w:val="000000"/>
          <w:sz w:val="22"/>
        </w:rPr>
        <w:t>: an intellectual property security agreement entered into between a Loan Party and the Administrative Agent pursuant to the terms of the Guarantee and Collateral Agreement in form and substance reasonably satisfactory to the Administrative Agent, together with each other intellectual property security agreement and supplement thereto delivered pursuant to Section 6.12, in each case as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Intercompany Loan Subordination Agreement</w:t>
      </w:r>
      <w:r>
        <w:rPr>
          <w:color w:val="000000"/>
        </w:rPr>
        <w:t>”</w:t>
      </w:r>
      <w:r>
        <w:rPr>
          <w:rFonts w:ascii="Times New Roman;sans-serif" w:hAnsi="Times New Roman;sans-serif"/>
          <w:b w:val="false"/>
          <w:color w:val="000000"/>
          <w:sz w:val="22"/>
        </w:rPr>
        <w:t>: an intercompany subordination agreement substantially in the form of Exhibit 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Intercreditor Agreement</w:t>
      </w:r>
      <w:r>
        <w:rPr>
          <w:color w:val="000000"/>
        </w:rPr>
        <w:t>”</w:t>
      </w:r>
      <w:r>
        <w:rPr>
          <w:rFonts w:ascii="Times New Roman;sans-serif" w:hAnsi="Times New Roman;sans-serif"/>
          <w:b w:val="false"/>
          <w:color w:val="000000"/>
          <w:sz w:val="22"/>
        </w:rPr>
        <w:t>: a “junior lien” intercreditor agreement reasonably satisfactory to the Administrative Agent and acknowledged by the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Interest Payment Date</w:t>
      </w:r>
      <w:r>
        <w:rPr>
          <w:color w:val="000000"/>
        </w:rPr>
        <w:t>”</w:t>
      </w:r>
      <w:r>
        <w:rPr>
          <w:rFonts w:ascii="Times New Roman;sans-serif" w:hAnsi="Times New Roman;sans-serif"/>
          <w:b w:val="false"/>
          <w:color w:val="000000"/>
          <w:sz w:val="22"/>
        </w:rPr>
        <w:t>: (a) as to any ABR Loan, the last Business Day of each fiscal quarter to occur while such Loan is outstanding and the final maturity date of such Loan, (b) as to any SOFR Loan having an Interest Period of three (3) months or less, the last Business Day of such Interest Period, (c) as to any SOFR Loan having an Interest Period longer than three (3) months, (x) each day that is three (3) months (or, if such date is not a Business Day, the Business Day next succeeding such date) after the first day of such Interest Period and (y) the last Business Day of such Interest Period, and (d) as to any Loan, the date of any repayment or prepayment made in respect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Interest Period</w:t>
      </w:r>
      <w:r>
        <w:rPr>
          <w:color w:val="000000"/>
        </w:rPr>
        <w:t>”</w:t>
      </w:r>
      <w:r>
        <w:rPr>
          <w:rFonts w:ascii="Times New Roman;sans-serif" w:hAnsi="Times New Roman;sans-serif"/>
          <w:b w:val="false"/>
          <w:color w:val="000000"/>
          <w:sz w:val="22"/>
        </w:rPr>
        <w:t xml:space="preserve">: as to any SOFR Loan, (a) initially, the period commencing on the borrowing or conversion date, as the case may be, with respect to such SOFR Loan and ending one (1), three (3), or six (6) months thereafter, as selected by the Borrower in its Notice of Borrowing or Notice of Conversion/Continuation, as the case may be, given with respect thereto; and (b) thereafter, each period commencing on the last day of the Interest Period then-applicable to such SOFR Loan and ending one (1), three (3), or six (6) months thereafter, as selected by the Borrower by irrevocable notice to the Administrative Agent in a Notice of Conversion/Continuation;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all of the foregoing provisions relating to Interest Periods are subject to the following:</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    the Borrower may not select an Interest Period under a particular Facility that would extend beyond the Maturity Date;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(iii)    any Interest Period that begins on the last Business Day of a calendar month (or on a day for which there is no numerically corresponding day in the calendar month at the end of such Interest Period) shall end on the last Business Day of a calendar month;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(iv)    no tenor that has been removed from this definition pursuant to </w:t>
      </w:r>
      <w:r>
        <w:rPr>
          <w:rFonts w:ascii="Times New Roman;sans-serif" w:hAnsi="Times New Roman;sans-serif"/>
          <w:b w:val="false"/>
          <w:color w:val="000000"/>
          <w:sz w:val="22"/>
          <w:u w:val="single"/>
        </w:rPr>
        <w:t>Section 2.17(c)(iv)</w:t>
      </w:r>
      <w:r>
        <w:rPr>
          <w:color w:val="000000"/>
        </w:rPr>
        <w:t xml:space="preserve"> </w:t>
      </w:r>
      <w:r>
        <w:rPr>
          <w:rFonts w:ascii="Times New Roman;sans-serif" w:hAnsi="Times New Roman;sans-serif"/>
          <w:b w:val="false"/>
          <w:color w:val="000000"/>
          <w:sz w:val="22"/>
        </w:rPr>
        <w:t>shall be available for specification in such Notice of Borrowing.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Interest Rate Agreement</w:t>
      </w:r>
      <w:r>
        <w:rPr>
          <w:color w:val="000000"/>
        </w:rPr>
        <w:t>”</w:t>
      </w:r>
      <w:r>
        <w:rPr>
          <w:rFonts w:ascii="Times New Roman;sans-serif" w:hAnsi="Times New Roman;sans-serif"/>
          <w:b w:val="false"/>
          <w:color w:val="000000"/>
          <w:sz w:val="22"/>
        </w:rPr>
        <w:t xml:space="preserve">: any interest rate swap agreement, interest rate cap agreement, interest rate collar agreement, interest rate hedging agreement or other similar agreement or arrangement,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560705"/>
                <wp:effectExtent l="0" t="0" r="0" b="0"/>
                <wp:wrapNone/>
                <wp:docPr id="150" name="Frame15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each of which is (a) for the purpose of hedging the interest rate exposure associated with the Borrower’s and its Subsidiaries’ operations, and (b) not for speculative purposes.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Inventory</w:t>
      </w:r>
      <w:r>
        <w:rPr>
          <w:color w:val="000000"/>
        </w:rPr>
        <w:t>”</w:t>
      </w:r>
      <w:r>
        <w:rPr>
          <w:rFonts w:ascii="Times New Roman;sans-serif" w:hAnsi="Times New Roman;sans-serif"/>
          <w:b w:val="false"/>
          <w:color w:val="000000"/>
          <w:sz w:val="22"/>
        </w:rPr>
        <w:t>: all “inventory,” as such term is defined in the UCC, now owned or hereafter acquired by any Loan Party, wherever located, and in any event including inventory, merchandise, goods and other personal property that are held by or on behalf of any Loan Party for sale or lease or are furnished or are to be furnished under a contract of service, or that constitutes raw materials, work in process, finished goods, returned goods, or materials or supplies of any kind used or consumed or to be used or consumed in such Loan Party’s business or in the processing, production, packaging, promotion, delivery or shipping of the same, including all supplies and embedded software.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Investments</w:t>
      </w:r>
      <w:r>
        <w:rPr>
          <w:color w:val="000000"/>
        </w:rPr>
        <w:t>”</w:t>
      </w:r>
      <w:r>
        <w:rPr>
          <w:rFonts w:ascii="Times New Roman;sans-serif" w:hAnsi="Times New Roman;sans-serif"/>
          <w:b w:val="false"/>
          <w:color w:val="000000"/>
          <w:sz w:val="22"/>
        </w:rPr>
        <w:t>: is defined in Section 7.8.</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IRS</w:t>
      </w:r>
      <w:r>
        <w:rPr>
          <w:color w:val="000000"/>
        </w:rPr>
        <w:t>”</w:t>
      </w:r>
      <w:r>
        <w:rPr>
          <w:rFonts w:ascii="Times New Roman;sans-serif" w:hAnsi="Times New Roman;sans-serif"/>
          <w:b w:val="false"/>
          <w:color w:val="000000"/>
          <w:sz w:val="22"/>
        </w:rPr>
        <w:t>: the United States Internal Revenue Service, or any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Judgment Currency</w:t>
      </w:r>
      <w:r>
        <w:rPr>
          <w:color w:val="000000"/>
        </w:rPr>
        <w:t>”</w:t>
      </w:r>
      <w:r>
        <w:rPr>
          <w:rFonts w:ascii="Times New Roman;sans-serif" w:hAnsi="Times New Roman;sans-serif"/>
          <w:b w:val="false"/>
          <w:color w:val="000000"/>
          <w:sz w:val="22"/>
        </w:rPr>
        <w:t>: is defined in Section 10.19(a).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Junior Debt Document</w:t>
      </w:r>
      <w:r>
        <w:rPr>
          <w:color w:val="000000"/>
        </w:rPr>
        <w:t>”</w:t>
      </w:r>
      <w:r>
        <w:rPr>
          <w:rFonts w:ascii="Times New Roman;sans-serif" w:hAnsi="Times New Roman;sans-serif"/>
          <w:b w:val="false"/>
          <w:color w:val="000000"/>
          <w:sz w:val="22"/>
        </w:rPr>
        <w:t>: any agreement, document or instrument executed or delivered by the Borrower or any Subsidiary and evidencing Junior Indebtedness.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Junior Indebtedness</w:t>
      </w:r>
      <w:r>
        <w:rPr>
          <w:color w:val="000000"/>
        </w:rPr>
        <w:t>”</w:t>
      </w:r>
      <w:r>
        <w:rPr>
          <w:rFonts w:ascii="Times New Roman;sans-serif" w:hAnsi="Times New Roman;sans-serif"/>
          <w:b w:val="false"/>
          <w:color w:val="000000"/>
          <w:sz w:val="22"/>
        </w:rPr>
        <w:t>: (i) Subordinated Indebtedness (ii) Indebtedness of a Loan Party subordinated in right of lien priority to the Liens securing the Obligations and (iii) unsecured Indebtedness of any Group Member for borrowed money in an aggregate principal amount, for purposes of this clause (iii) in excess of the greater of (A) $5,000,000 and (B) 10% of Consolidated Adjusted EBITDA for the most recently ended Test Period as of the date of determination.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laws</w:t>
      </w:r>
      <w:r>
        <w:rPr>
          <w:color w:val="000000"/>
        </w:rPr>
        <w:t>”</w:t>
      </w:r>
      <w:r>
        <w:rPr>
          <w:rFonts w:ascii="Times New Roman;sans-serif" w:hAnsi="Times New Roman;sans-serif"/>
          <w:b w:val="false"/>
          <w:color w:val="000000"/>
          <w:sz w:val="22"/>
        </w:rPr>
        <w:t>: with respect to any Person, (i) the common law and any federal, state, local, foreign, multinational or international statutes, laws, treaties, judicial decisions, regulations, ordinances, judgments, writs, orders, decrees, injunctions, permits, concessions, grants, franchises, of any Governmental Authority, in each case that are binding upon such Person or any of its property or to which such Person or any of its property is subject.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LCA Election</w:t>
      </w:r>
      <w:r>
        <w:rPr>
          <w:color w:val="000000"/>
        </w:rPr>
        <w:t>”</w:t>
      </w:r>
      <w:r>
        <w:rPr>
          <w:rFonts w:ascii="Times New Roman;sans-serif" w:hAnsi="Times New Roman;sans-serif"/>
          <w:b w:val="false"/>
          <w:color w:val="000000"/>
          <w:sz w:val="22"/>
        </w:rPr>
        <w:t>: is defined in Section 1.5.</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LCA Test Date</w:t>
      </w:r>
      <w:r>
        <w:rPr>
          <w:color w:val="000000"/>
        </w:rPr>
        <w:t>”</w:t>
      </w:r>
      <w:r>
        <w:rPr>
          <w:rFonts w:ascii="Times New Roman;sans-serif" w:hAnsi="Times New Roman;sans-serif"/>
          <w:b w:val="false"/>
          <w:color w:val="000000"/>
          <w:sz w:val="22"/>
        </w:rPr>
        <w:t>: is defined in Section 1.5.</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Lead Arranger</w:t>
      </w:r>
      <w:r>
        <w:rPr>
          <w:color w:val="000000"/>
        </w:rPr>
        <w:t>”</w:t>
      </w:r>
      <w:r>
        <w:rPr>
          <w:rFonts w:ascii="Times New Roman;sans-serif" w:hAnsi="Times New Roman;sans-serif"/>
          <w:b w:val="false"/>
          <w:color w:val="000000"/>
          <w:sz w:val="22"/>
        </w:rPr>
        <w:t>: Silver Point.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Legal Reservations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810"/>
        <w:jc w:val="both"/>
        <w:rPr>
          <w:rFonts w:ascii="Times New Roman;sans-serif" w:hAnsi="Times New Roman;sans-serif"/>
          <w:b w:val="false"/>
          <w:color w:val="000000"/>
          <w:sz w:val="22"/>
        </w:rPr>
      </w:pPr>
      <w:r>
        <w:rPr>
          <w:rFonts w:ascii="Times New Roman;sans-serif" w:hAnsi="Times New Roman;sans-serif"/>
          <w:b w:val="false"/>
          <w:color w:val="000000"/>
          <w:sz w:val="22"/>
        </w:rPr>
        <w:t>(1) the principle that equitable remedies may be granted or refused at the discretion of a court, the limitation of enforcement by laws relating to insolvency, bankruptcy, liquidation, judicial management, reorganization, court schemes, moratoria, administration and other laws generally affecting the rights of creditors and similar principles or limitations under the laws of any applicable jurisdiction;</w:t>
      </w:r>
    </w:p>
    <w:p>
      <w:pPr>
        <w:pStyle w:val="TextBody"/>
        <w:bidi w:val="0"/>
        <w:spacing w:lineRule="auto" w:line="288" w:before="0" w:after="240"/>
        <w:ind w:left="0" w:right="0" w:firstLine="810"/>
        <w:jc w:val="both"/>
        <w:rPr>
          <w:rFonts w:ascii="Times New Roman;sans-serif" w:hAnsi="Times New Roman;sans-serif"/>
          <w:b w:val="false"/>
          <w:color w:val="000000"/>
          <w:sz w:val="22"/>
        </w:rPr>
      </w:pPr>
      <w:r>
        <w:rPr>
          <w:rFonts w:ascii="Times New Roman;sans-serif" w:hAnsi="Times New Roman;sans-serif"/>
          <w:b w:val="false"/>
          <w:color w:val="000000"/>
          <w:sz w:val="22"/>
        </w:rPr>
        <w:t>(2) the time barring of claims under applicable limitation laws, the possibility that an undertaking to assume liability for or indemnify a person against non-payment of stamp duty may be void and defenses of set-off or counterclaim and similar principles or limitations under the laws of any applicable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560705"/>
                <wp:effectExtent l="0" t="0" r="0" b="0"/>
                <wp:wrapNone/>
                <wp:docPr id="151" name="Frame15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810"/>
        <w:jc w:val="both"/>
        <w:rPr>
          <w:rFonts w:ascii="Times New Roman;sans-serif" w:hAnsi="Times New Roman;sans-serif"/>
          <w:b w:val="false"/>
          <w:color w:val="000000"/>
          <w:sz w:val="22"/>
        </w:rPr>
      </w:pPr>
      <w:r>
        <w:rPr>
          <w:rFonts w:ascii="Times New Roman;sans-serif" w:hAnsi="Times New Roman;sans-serif"/>
          <w:b w:val="false"/>
          <w:color w:val="000000"/>
          <w:sz w:val="22"/>
        </w:rPr>
        <w:t>(3) any general principles, reservations or qualifications, in each case as to matters of law as set out in any legal opinion delivered to the Administrative Agent in connection with any provision of any Loan Document;</w:t>
      </w:r>
    </w:p>
    <w:p>
      <w:pPr>
        <w:pStyle w:val="TextBody"/>
        <w:bidi w:val="0"/>
        <w:spacing w:lineRule="auto" w:line="288" w:before="0" w:after="240"/>
        <w:ind w:left="0" w:right="0" w:firstLine="810"/>
        <w:jc w:val="both"/>
        <w:rPr>
          <w:rFonts w:ascii="Times New Roman;sans-serif" w:hAnsi="Times New Roman;sans-serif"/>
          <w:b w:val="false"/>
          <w:color w:val="000000"/>
          <w:sz w:val="22"/>
        </w:rPr>
      </w:pPr>
      <w:r>
        <w:rPr>
          <w:rFonts w:ascii="Times New Roman;sans-serif" w:hAnsi="Times New Roman;sans-serif"/>
          <w:b w:val="false"/>
          <w:color w:val="000000"/>
          <w:sz w:val="22"/>
        </w:rPr>
        <w:t>(4) the principle that any additional interest imposed under any relevant agreement may be held to be unenforceable on the grounds that it is a penalty and thus void;</w:t>
      </w:r>
    </w:p>
    <w:p>
      <w:pPr>
        <w:pStyle w:val="TextBody"/>
        <w:bidi w:val="0"/>
        <w:spacing w:lineRule="auto" w:line="288" w:before="0" w:after="240"/>
        <w:ind w:left="0" w:right="0" w:firstLine="810"/>
        <w:jc w:val="both"/>
        <w:rPr>
          <w:rFonts w:ascii="Times New Roman;sans-serif" w:hAnsi="Times New Roman;sans-serif"/>
          <w:b w:val="false"/>
          <w:color w:val="000000"/>
          <w:sz w:val="22"/>
        </w:rPr>
      </w:pPr>
      <w:r>
        <w:rPr>
          <w:rFonts w:ascii="Times New Roman;sans-serif" w:hAnsi="Times New Roman;sans-serif"/>
          <w:b w:val="false"/>
          <w:color w:val="000000"/>
          <w:sz w:val="22"/>
        </w:rPr>
        <w:t>(5) the principle that in certain circumstances security granted by way of fixed charge may be characterized as a floating charge or that security purported to be constituted by way of an assignment may be re-characterized as a charge;</w:t>
      </w:r>
    </w:p>
    <w:p>
      <w:pPr>
        <w:pStyle w:val="TextBody"/>
        <w:bidi w:val="0"/>
        <w:spacing w:lineRule="auto" w:line="288" w:before="0" w:after="240"/>
        <w:ind w:left="0" w:right="0" w:firstLine="810"/>
        <w:jc w:val="both"/>
        <w:rPr>
          <w:rFonts w:ascii="Times New Roman;sans-serif" w:hAnsi="Times New Roman;sans-serif"/>
          <w:b w:val="false"/>
          <w:color w:val="000000"/>
          <w:sz w:val="22"/>
        </w:rPr>
      </w:pPr>
      <w:r>
        <w:rPr>
          <w:rFonts w:ascii="Times New Roman;sans-serif" w:hAnsi="Times New Roman;sans-serif"/>
          <w:b w:val="false"/>
          <w:color w:val="000000"/>
          <w:sz w:val="22"/>
        </w:rPr>
        <w:t>(6) the principle that a court may not give effect to an indemnity for legal costs incurred by an unsuccessful litigant;</w:t>
      </w:r>
    </w:p>
    <w:p>
      <w:pPr>
        <w:pStyle w:val="TextBody"/>
        <w:bidi w:val="0"/>
        <w:spacing w:lineRule="auto" w:line="288" w:before="0" w:after="240"/>
        <w:ind w:left="0" w:right="0" w:firstLine="810"/>
        <w:jc w:val="both"/>
        <w:rPr>
          <w:rFonts w:ascii="Times New Roman;sans-serif" w:hAnsi="Times New Roman;sans-serif"/>
          <w:b w:val="false"/>
          <w:color w:val="000000"/>
          <w:sz w:val="22"/>
        </w:rPr>
      </w:pPr>
      <w:r>
        <w:rPr>
          <w:rFonts w:ascii="Times New Roman;sans-serif" w:hAnsi="Times New Roman;sans-serif"/>
          <w:b w:val="false"/>
          <w:color w:val="000000"/>
          <w:sz w:val="22"/>
        </w:rPr>
        <w:t>(7) the principle that the creation or purported creation of security over any contract or agreement which is subject to a prohibition against transfer, assignment or charging may be void, ineffective or invalid and may give rise to a breach entitling the contracting party to terminate or take any other action in relation to such contract or agreement;</w:t>
      </w:r>
    </w:p>
    <w:p>
      <w:pPr>
        <w:pStyle w:val="TextBody"/>
        <w:bidi w:val="0"/>
        <w:spacing w:lineRule="auto" w:line="288" w:before="0" w:after="240"/>
        <w:ind w:left="0" w:right="0" w:firstLine="810"/>
        <w:jc w:val="both"/>
        <w:rPr>
          <w:rFonts w:ascii="Times New Roman;sans-serif" w:hAnsi="Times New Roman;sans-serif"/>
          <w:b w:val="false"/>
          <w:color w:val="000000"/>
          <w:sz w:val="22"/>
        </w:rPr>
      </w:pPr>
      <w:r>
        <w:rPr>
          <w:rFonts w:ascii="Times New Roman;sans-serif" w:hAnsi="Times New Roman;sans-serif"/>
          <w:b w:val="false"/>
          <w:color w:val="000000"/>
          <w:sz w:val="22"/>
        </w:rPr>
        <w:t>(8) provisions of a contract being invalid or unenforceable for reasons of oppression or undue influence; and</w:t>
      </w:r>
    </w:p>
    <w:p>
      <w:pPr>
        <w:pStyle w:val="TextBody"/>
        <w:bidi w:val="0"/>
        <w:spacing w:lineRule="auto" w:line="288" w:before="0" w:after="240"/>
        <w:ind w:left="0" w:right="0" w:firstLine="810"/>
        <w:jc w:val="both"/>
        <w:rPr>
          <w:rFonts w:ascii="Times New Roman;sans-serif" w:hAnsi="Times New Roman;sans-serif"/>
          <w:b w:val="false"/>
          <w:color w:val="000000"/>
          <w:sz w:val="22"/>
        </w:rPr>
      </w:pPr>
      <w:r>
        <w:rPr>
          <w:rFonts w:ascii="Times New Roman;sans-serif" w:hAnsi="Times New Roman;sans-serif"/>
          <w:b w:val="false"/>
          <w:color w:val="000000"/>
          <w:sz w:val="22"/>
        </w:rPr>
        <w:t>(9) similar principles, rights and defenses under the laws of any relevant jurisdiction.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Lenders</w:t>
      </w:r>
      <w:r>
        <w:rPr>
          <w:color w:val="000000"/>
        </w:rPr>
        <w:t>”</w:t>
      </w:r>
      <w:r>
        <w:rPr>
          <w:rFonts w:ascii="Times New Roman;sans-serif" w:hAnsi="Times New Roman;sans-serif"/>
          <w:b w:val="false"/>
          <w:color w:val="000000"/>
          <w:sz w:val="22"/>
        </w:rPr>
        <w:t>: is defined in the preamble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Lien</w:t>
      </w:r>
      <w:r>
        <w:rPr>
          <w:color w:val="000000"/>
        </w:rPr>
        <w:t>”</w:t>
      </w:r>
      <w:r>
        <w:rPr>
          <w:rFonts w:ascii="Times New Roman;sans-serif" w:hAnsi="Times New Roman;sans-serif"/>
          <w:b w:val="false"/>
          <w:color w:val="000000"/>
          <w:sz w:val="22"/>
        </w:rPr>
        <w:t>: any mortgage, deed of trust, pledge, hypothecation, collateral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or finance lease having substantially the same economic effect as any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Limited Condition Acquisition</w:t>
      </w:r>
      <w:r>
        <w:rPr>
          <w:color w:val="000000"/>
        </w:rPr>
        <w:t xml:space="preserve">” </w:t>
      </w:r>
      <w:r>
        <w:rPr>
          <w:rFonts w:ascii="Times New Roman;sans-serif" w:hAnsi="Times New Roman;sans-serif"/>
          <w:b w:val="false"/>
          <w:color w:val="000000"/>
          <w:sz w:val="22"/>
        </w:rPr>
        <w:t>any Permitted Acquisition or Investment by the Borrower and/or one or more Subsidiaries the consummation of which is not conditioned on the availability of, or on obtaining, third party financing.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Liquidity</w:t>
      </w:r>
      <w:r>
        <w:rPr>
          <w:color w:val="000000"/>
        </w:rPr>
        <w:t>”</w:t>
      </w:r>
      <w:r>
        <w:rPr>
          <w:rFonts w:ascii="Times New Roman;sans-serif" w:hAnsi="Times New Roman;sans-serif"/>
          <w:b w:val="false"/>
          <w:color w:val="000000"/>
          <w:sz w:val="22"/>
        </w:rPr>
        <w:t>: at any time, an amount equal to the sum of Unrestricted Cash held by the Loan Parties at such time in one or more Deposit Accounts or Securities Accounts which are subject to a Control Agreement in favor of the Administrative Agent (it being understood that for the period commencing on the Closing Date and ending on the date of the Initial DACA Deadline, all Unrestricted Cash of the Loan Parties shall be deemed to be included in “Liquidity” despite the lack of a Control Agreement over the applicable account in which the Unrestricted Cash is held).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Liquidity Covenant</w:t>
      </w:r>
      <w:r>
        <w:rPr>
          <w:color w:val="000000"/>
        </w:rPr>
        <w:t>”</w:t>
      </w:r>
      <w:r>
        <w:rPr>
          <w:rFonts w:ascii="Times New Roman;sans-serif" w:hAnsi="Times New Roman;sans-serif"/>
          <w:b w:val="false"/>
          <w:color w:val="000000"/>
          <w:sz w:val="22"/>
        </w:rPr>
        <w:t>: the covenant set forth in Section 7.1(c).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Loan</w:t>
      </w:r>
      <w:r>
        <w:rPr>
          <w:color w:val="000000"/>
        </w:rPr>
        <w:t>”</w:t>
      </w:r>
      <w:r>
        <w:rPr>
          <w:rFonts w:ascii="Times New Roman;sans-serif" w:hAnsi="Times New Roman;sans-serif"/>
          <w:b w:val="false"/>
          <w:color w:val="000000"/>
          <w:sz w:val="22"/>
        </w:rPr>
        <w:t>: any loan made or maintained by any Lender pursuant to this Agreement. “Loans” includes the Initial Loans, the Delayed Draw A Loans, the Delayed Draw B Loans, any Incremental Loan, any Refinancing Loan and any Extended Loan.</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60705"/>
                <wp:effectExtent l="0" t="0" r="0" b="0"/>
                <wp:wrapNone/>
                <wp:docPr id="152" name="Frame15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Loan Documents</w:t>
      </w:r>
      <w:r>
        <w:rPr>
          <w:color w:val="000000"/>
        </w:rPr>
        <w:t>”</w:t>
      </w:r>
      <w:r>
        <w:rPr>
          <w:rFonts w:ascii="Times New Roman;sans-serif" w:hAnsi="Times New Roman;sans-serif"/>
          <w:b w:val="false"/>
          <w:color w:val="000000"/>
          <w:sz w:val="22"/>
        </w:rPr>
        <w:t xml:space="preserve">: this Agreement, each Security Document, each Note, the Fee Letter, each Incremental Joinder, each Incremental Amendment, any Extension Amendment, any Refinancing Amendment, and any amendment, waiver, supplement or other modification to any of the foregoing.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Loan Parties</w:t>
      </w:r>
      <w:r>
        <w:rPr>
          <w:color w:val="000000"/>
        </w:rPr>
        <w:t>”</w:t>
      </w:r>
      <w:r>
        <w:rPr>
          <w:rFonts w:ascii="Times New Roman;sans-serif" w:hAnsi="Times New Roman;sans-serif"/>
          <w:b w:val="false"/>
          <w:color w:val="000000"/>
          <w:sz w:val="22"/>
        </w:rPr>
        <w:t>: collectively, the Borrower and the Guarantors.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LQA Recurring Revenues</w:t>
      </w:r>
      <w:r>
        <w:rPr>
          <w:color w:val="000000"/>
        </w:rPr>
        <w:t>”</w:t>
      </w:r>
      <w:r>
        <w:rPr>
          <w:rFonts w:ascii="Times New Roman;sans-serif" w:hAnsi="Times New Roman;sans-serif"/>
          <w:b w:val="false"/>
          <w:color w:val="000000"/>
          <w:sz w:val="22"/>
        </w:rPr>
        <w:t xml:space="preserve">: as of any date of determination, the product of (a) Recurring Revenues for the Test Period ending on or most recently ended prior to such date, </w:t>
      </w:r>
      <w:r>
        <w:rPr>
          <w:rFonts w:ascii="Times New Roman;sans-serif" w:hAnsi="Times New Roman;sans-serif"/>
          <w:b w:val="false"/>
          <w:i/>
          <w:color w:val="000000"/>
          <w:sz w:val="22"/>
        </w:rPr>
        <w:t>multiplied</w:t>
      </w:r>
      <w:r>
        <w:rPr>
          <w:color w:val="000000"/>
        </w:rPr>
        <w:t xml:space="preserve"> </w:t>
      </w:r>
      <w:r>
        <w:rPr>
          <w:rFonts w:ascii="Times New Roman;sans-serif" w:hAnsi="Times New Roman;sans-serif"/>
          <w:b w:val="false"/>
          <w:color w:val="000000"/>
          <w:sz w:val="22"/>
        </w:rPr>
        <w:t>by (b) four (4).</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Mandatory Prepayment Date</w:t>
      </w:r>
      <w:r>
        <w:rPr>
          <w:color w:val="000000"/>
        </w:rPr>
        <w:t>”</w:t>
      </w:r>
      <w:r>
        <w:rPr>
          <w:rFonts w:ascii="Times New Roman;sans-serif" w:hAnsi="Times New Roman;sans-serif"/>
          <w:b w:val="false"/>
          <w:color w:val="000000"/>
          <w:sz w:val="22"/>
        </w:rPr>
        <w:t>: is defined in Section 2.12(g).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Material Adverse Effect</w:t>
      </w:r>
      <w:r>
        <w:rPr>
          <w:color w:val="000000"/>
        </w:rPr>
        <w:t>”</w:t>
      </w:r>
      <w:r>
        <w:rPr>
          <w:rFonts w:ascii="Times New Roman;sans-serif" w:hAnsi="Times New Roman;sans-serif"/>
          <w:b w:val="false"/>
          <w:color w:val="000000"/>
          <w:sz w:val="22"/>
        </w:rPr>
        <w:t xml:space="preserve">: (a) a material adverse change in the business, results of operations, or financial condition of the Group Members, taken as a whole; (b) a material adverse effect on the rights and remedies of the Administrative Agent and the Lenders under the Loan Documents, taken as a whole; or (c) a material adverse effect on the ability of the Loan Parties (taken as a whole) to perform their respective obligations (including their payment obligations) under the Loan Documents (taken as a whole). </w:t>
      </w:r>
    </w:p>
    <w:p>
      <w:pPr>
        <w:pStyle w:val="TextBody"/>
        <w:bidi w:val="0"/>
        <w:spacing w:lineRule="auto" w:line="288" w:before="0" w:after="240"/>
        <w:jc w:val="both"/>
        <w:rPr/>
      </w:pPr>
      <w:r>
        <w:rPr>
          <w:color w:val="000000"/>
        </w:rPr>
        <w:t>    “</w:t>
      </w:r>
      <w:r>
        <w:rPr>
          <w:rFonts w:ascii="Times New Roman;sans-serif" w:hAnsi="Times New Roman;sans-serif"/>
          <w:b/>
          <w:i/>
          <w:color w:val="000000"/>
          <w:sz w:val="22"/>
        </w:rPr>
        <w:t>Material Foreign Subsidiary</w:t>
      </w:r>
      <w:r>
        <w:rPr>
          <w:color w:val="000000"/>
        </w:rPr>
        <w:t>”</w:t>
      </w:r>
      <w:r>
        <w:rPr>
          <w:rFonts w:ascii="Times New Roman;sans-serif" w:hAnsi="Times New Roman;sans-serif"/>
          <w:b w:val="false"/>
          <w:color w:val="000000"/>
          <w:sz w:val="22"/>
        </w:rPr>
        <w:t>: at any date of determination, any Foreign Subsidiary of the Borrower (other than any Subsidiary organized under the laws of the People’s Republic of China or India) which as of such date (a) holds assets representing 5% or more of the Borrower’s consolidated total assets (determined in accordance with GAAP) or (b) has generated 5% or more of the Borrower’s consolidated total revenues determined in accordance with GAAP for the four fiscal quarter period ending on the last day of the most recent period for which financial statements have been delivered after the Closing Date pursuant to Section 6.1(c) (or, prior to the first date that financial statements have been delivered pursuant to Section 6.1(c), the period of four consecutive fiscal quarters ending on March 31, 2024). As of the Closing Date, no Foreign Subsidiaries of the Borrower constitute Material Foreign Subsidiaries.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Materials of Environmental Concern</w:t>
      </w:r>
      <w:r>
        <w:rPr>
          <w:color w:val="000000"/>
        </w:rPr>
        <w:t>”</w:t>
      </w:r>
      <w:r>
        <w:rPr>
          <w:rFonts w:ascii="Times New Roman;sans-serif" w:hAnsi="Times New Roman;sans-serif"/>
          <w:b w:val="false"/>
          <w:color w:val="000000"/>
          <w:sz w:val="22"/>
        </w:rPr>
        <w:t>: any substance, material or waste that is defined, regulated, governed or otherwise characterized under any Environmental Law as hazardous or toxic or as a pollutant or contaminant (or by words of similar meaning and regulatory effect), any petroleum or petroleum products, asbestos, polychlorinated biphenyls, urea-formaldehyde insulation, molds or fungus, and radioactivity, radiofrequency radiation at levels known to be hazardous to human health and safety.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Material Real Property</w:t>
      </w:r>
      <w:r>
        <w:rPr>
          <w:color w:val="000000"/>
        </w:rPr>
        <w:t>”</w:t>
      </w:r>
      <w:r>
        <w:rPr>
          <w:rFonts w:ascii="Times New Roman;sans-serif" w:hAnsi="Times New Roman;sans-serif"/>
          <w:b w:val="false"/>
          <w:color w:val="000000"/>
          <w:sz w:val="22"/>
        </w:rPr>
        <w:t>: any real property owned by a Loan Party in fee with an individual fair market value (together with improvements thereof) of at least $5,000,000 other than (i) any property that contains improvements located in an area identified by the Federal Emergency Management Agency (or any successor agency) as a “special flood hazard area”), or (ii) any property that is otherwise an Excluded Asset.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Maturity Date</w:t>
      </w:r>
      <w:r>
        <w:rPr>
          <w:color w:val="000000"/>
        </w:rPr>
        <w:t>”</w:t>
      </w:r>
      <w:r>
        <w:rPr>
          <w:rFonts w:ascii="Times New Roman;sans-serif" w:hAnsi="Times New Roman;sans-serif"/>
          <w:b w:val="false"/>
          <w:color w:val="000000"/>
          <w:sz w:val="22"/>
        </w:rPr>
        <w:t>: July 16, 2029, as extended in accordance with any Extension Amendment, solely with respect to any Extended Loans governed thereby.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Minimum Liquidity Threshold</w:t>
      </w:r>
      <w:r>
        <w:rPr>
          <w:color w:val="000000"/>
        </w:rPr>
        <w:t>”</w:t>
      </w:r>
      <w:r>
        <w:rPr>
          <w:rFonts w:ascii="Times New Roman;sans-serif" w:hAnsi="Times New Roman;sans-serif"/>
          <w:b w:val="false"/>
          <w:color w:val="000000"/>
          <w:sz w:val="22"/>
        </w:rPr>
        <w:t xml:space="preserve">: as of any date of determination, an amount equal to the sum of (a) $75,000,000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(b) the Existing Convertible Notes Redemption Amount as of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Minority Lender</w:t>
      </w:r>
      <w:r>
        <w:rPr>
          <w:color w:val="000000"/>
        </w:rPr>
        <w:t>”</w:t>
      </w:r>
      <w:r>
        <w:rPr>
          <w:rFonts w:ascii="Times New Roman;sans-serif" w:hAnsi="Times New Roman;sans-serif"/>
          <w:b w:val="false"/>
          <w:color w:val="000000"/>
          <w:sz w:val="22"/>
        </w:rPr>
        <w:t>: is defined in Section 10.1(b).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Moody’s</w:t>
      </w:r>
      <w:r>
        <w:rPr>
          <w:color w:val="000000"/>
        </w:rPr>
        <w:t>”</w:t>
      </w:r>
      <w:r>
        <w:rPr>
          <w:rFonts w:ascii="Times New Roman;sans-serif" w:hAnsi="Times New Roman;sans-serif"/>
          <w:b w:val="false"/>
          <w:color w:val="000000"/>
          <w:sz w:val="22"/>
        </w:rPr>
        <w:t>: Moody’s Investors Service, Inc.</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60705"/>
                <wp:effectExtent l="0" t="0" r="0" b="0"/>
                <wp:wrapNone/>
                <wp:docPr id="153" name="Frame15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Mortgaged Properties</w:t>
      </w:r>
      <w:r>
        <w:rPr>
          <w:color w:val="000000"/>
        </w:rPr>
        <w:t>”</w:t>
      </w:r>
      <w:r>
        <w:rPr>
          <w:rFonts w:ascii="Times New Roman;sans-serif" w:hAnsi="Times New Roman;sans-serif"/>
          <w:b w:val="false"/>
          <w:color w:val="000000"/>
          <w:sz w:val="22"/>
        </w:rPr>
        <w:t xml:space="preserve">: the Material Real Properties as to which, pursuant to Section 6.12(b), the Administrative Agent, for the benefit of the Secured Parties, shall be granted a Lien pursuant to the Mortgages.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Mortgages</w:t>
      </w:r>
      <w:r>
        <w:rPr>
          <w:color w:val="000000"/>
        </w:rPr>
        <w:t>”</w:t>
      </w:r>
      <w:r>
        <w:rPr>
          <w:rFonts w:ascii="Times New Roman;sans-serif" w:hAnsi="Times New Roman;sans-serif"/>
          <w:b w:val="false"/>
          <w:color w:val="000000"/>
          <w:sz w:val="22"/>
        </w:rPr>
        <w:t>: each of the mortgages, deeds of trust, deeds to secure debt or such equivalent documents hereafter entered into and executed and delivered by one or more of the Loan Parties to the Administrative Agent, in each case, as such documents may be amended, amended and restated, supplemented or otherwise modified, renewed or replaced from time to time and in form and substance reasonably acceptable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Multiemployer Plan</w:t>
      </w:r>
      <w:r>
        <w:rPr>
          <w:color w:val="000000"/>
        </w:rPr>
        <w:t>”</w:t>
      </w:r>
      <w:r>
        <w:rPr>
          <w:rFonts w:ascii="Times New Roman;sans-serif" w:hAnsi="Times New Roman;sans-serif"/>
          <w:b w:val="false"/>
          <w:color w:val="000000"/>
          <w:sz w:val="22"/>
        </w:rPr>
        <w:t>: a “multiemployer plan” (within the meaning of Section 3(37) of ERISA) to which any Loan Party or any ERISA Affiliate thereof makes, is making, or is obligated or, to make, contributions or has any liability.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Net Cash Proceeds</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in connection with any Specified Asset Sale or any Recovery Event, the proceeds thereof in the form of cash and Cash Equivalents (including any such proceeds received by way of deferred payment of principal pursuant to a note or installment receivable or purchase price adjustment receivable or otherwise, but only as and when received), net of attorneys’ fees, accountants’ fees, investment banking fees, amounts required to be applied to the repayment of Indebtedness secured by a Lien expressly permitted hereunder on any asset that is the subject of such Specified Asset Sale or Recovery Event (other (x) than any Lien pursuant to a Security Document and (y) any Liens securing Indebtedness that ranks junior to or pari passu with the Liens securing the Obligations), reserves and other bona fide costs, fees and expenses actually incurred in connection therewith and net of taxes paid and the Borrower’s reasonable and good faith estimate of income, franchise, sales, and other applicable taxes required to be paid by any Group Member in connection with such Specified Asset Sale or Recovery Event, the computation of which shall, in each such case, take into account the reduction in tax liability resulting from any available net operating losses and net operating loss carryovers, tax credits, and tax credit carry forwards, and similar tax attributes,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 subject to clause (ii) below, no net cash proceeds calculated in accordance with the foregoing shall constitute Net Cash Proceeds for purposes of this Agreement in any fiscal year of Borrower until the aggregate amount of all such net cash proceeds for such fiscal year shall exceed the greater of (x) $2,000,000 and (y) 5% of Consolidated Adjusted EBITDA as of the most recently ended Test Period (and only the amount in excess of such threshold shall constitute Net Cash Proceeds) and (ii) in no event shall the aggregate amount of net cash proceeds excluded from Net Cash Proceeds pursuant to the immediately preceding clause (i) during the term of this Agreement exceed the greater of (x) $4,000,000 and (y) 10% of Consolidated Adjusted EBITDA as of the most recently ended Test Period; and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in connection with any issuance or sale of Capital Stock or any incurrence of Indebtedness, the cash proceeds received from such issuance or incurrence, net of attorneys’ fees, investment banking fees, accountants’ fees, underwriting discounts and commissions and other bona fide costs, fees and expenses actually incurred in connection therewith.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Non-Consenting Lender</w:t>
      </w:r>
      <w:r>
        <w:rPr>
          <w:color w:val="000000"/>
        </w:rPr>
        <w:t>”</w:t>
      </w:r>
      <w:r>
        <w:rPr>
          <w:rFonts w:ascii="Times New Roman;sans-serif" w:hAnsi="Times New Roman;sans-serif"/>
          <w:b w:val="false"/>
          <w:color w:val="000000"/>
          <w:sz w:val="22"/>
        </w:rPr>
        <w:t>: any Lender that does not approve any consent, waiver or amendment that (a) requires the approval of all Affected Lenders in accordance with the terms of Section 10.1 and (b) has been approved by the Required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Non-Defaulting Lender</w:t>
      </w:r>
      <w:r>
        <w:rPr>
          <w:color w:val="000000"/>
        </w:rPr>
        <w:t>”</w:t>
      </w:r>
      <w:r>
        <w:rPr>
          <w:rFonts w:ascii="Times New Roman;sans-serif" w:hAnsi="Times New Roman;sans-serif"/>
          <w:b w:val="false"/>
          <w:color w:val="000000"/>
          <w:sz w:val="22"/>
        </w:rPr>
        <w:t>: at any time, each Lender that is not a Defaulting Lender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560705"/>
                <wp:effectExtent l="0" t="0" r="0" b="0"/>
                <wp:wrapNone/>
                <wp:docPr id="154" name="Frame15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Non-Loan Party</w:t>
      </w:r>
      <w:r>
        <w:rPr>
          <w:color w:val="000000"/>
        </w:rPr>
        <w:t>”</w:t>
      </w:r>
      <w:r>
        <w:rPr>
          <w:rFonts w:ascii="Times New Roman;sans-serif" w:hAnsi="Times New Roman;sans-serif"/>
          <w:b w:val="false"/>
          <w:color w:val="000000"/>
          <w:sz w:val="22"/>
        </w:rPr>
        <w:t>: any Group Member that is not a Loan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Non-Loan Party Dedicated Investments Basket</w:t>
      </w:r>
      <w:r>
        <w:rPr>
          <w:color w:val="000000"/>
        </w:rPr>
        <w:t>”</w:t>
      </w:r>
      <w:r>
        <w:rPr>
          <w:rFonts w:ascii="Times New Roman;sans-serif" w:hAnsi="Times New Roman;sans-serif"/>
          <w:b w:val="false"/>
          <w:color w:val="000000"/>
          <w:sz w:val="22"/>
        </w:rPr>
        <w:t>: as defined in Section 7.8(f)(iii).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Non-Loan Party Investments Cap</w:t>
      </w:r>
      <w:r>
        <w:rPr>
          <w:color w:val="000000"/>
        </w:rPr>
        <w:t>”</w:t>
      </w:r>
      <w:r>
        <w:rPr>
          <w:rFonts w:ascii="Times New Roman;sans-serif" w:hAnsi="Times New Roman;sans-serif"/>
          <w:b w:val="false"/>
          <w:color w:val="000000"/>
          <w:sz w:val="22"/>
        </w:rPr>
        <w:t xml:space="preserve">: as of any date of determination, an amount equal to $10,000,000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the aggregate outstanding amount of Investments made pursuant to Section 7.8 as of such date in Non-Loan Parties.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Non-Loan Party Permitted Acquisitions Cap</w:t>
      </w:r>
      <w:r>
        <w:rPr>
          <w:color w:val="000000"/>
        </w:rPr>
        <w:t>”</w:t>
      </w:r>
      <w:r>
        <w:rPr>
          <w:rFonts w:ascii="Times New Roman;sans-serif" w:hAnsi="Times New Roman;sans-serif"/>
          <w:b w:val="false"/>
          <w:color w:val="000000"/>
          <w:sz w:val="22"/>
        </w:rPr>
        <w:t>: as defined in Section 7.8(n)(xii).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Note</w:t>
      </w:r>
      <w:r>
        <w:rPr>
          <w:color w:val="000000"/>
        </w:rPr>
        <w:t>”</w:t>
      </w:r>
      <w:r>
        <w:rPr>
          <w:rFonts w:ascii="Times New Roman;sans-serif" w:hAnsi="Times New Roman;sans-serif"/>
          <w:b w:val="false"/>
          <w:color w:val="000000"/>
          <w:sz w:val="22"/>
        </w:rPr>
        <w:t>: a promissory note in substantially the form of Exhibit H-3, as it may be amended,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Notice of Borrowing</w:t>
      </w:r>
      <w:r>
        <w:rPr>
          <w:color w:val="000000"/>
        </w:rPr>
        <w:t>”</w:t>
      </w:r>
      <w:r>
        <w:rPr>
          <w:rFonts w:ascii="Times New Roman;sans-serif" w:hAnsi="Times New Roman;sans-serif"/>
          <w:b w:val="false"/>
          <w:color w:val="000000"/>
          <w:sz w:val="22"/>
        </w:rPr>
        <w:t xml:space="preserve">: a notice substantially in the form of Exhibit K.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Notice of Conversion/Continuation</w:t>
      </w:r>
      <w:r>
        <w:rPr>
          <w:color w:val="000000"/>
        </w:rPr>
        <w:t>”</w:t>
      </w:r>
      <w:r>
        <w:rPr>
          <w:rFonts w:ascii="Times New Roman;sans-serif" w:hAnsi="Times New Roman;sans-serif"/>
          <w:b w:val="false"/>
          <w:color w:val="000000"/>
          <w:sz w:val="22"/>
        </w:rPr>
        <w:t>: a notice substantially in the form of Exhibit L.</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Obligations</w:t>
      </w:r>
      <w:r>
        <w:rPr>
          <w:color w:val="000000"/>
        </w:rPr>
        <w:t>”</w:t>
      </w:r>
      <w:r>
        <w:rPr>
          <w:rFonts w:ascii="Times New Roman;sans-serif" w:hAnsi="Times New Roman;sans-serif"/>
          <w:b w:val="false"/>
          <w:color w:val="000000"/>
          <w:sz w:val="22"/>
        </w:rPr>
        <w:t>: the unpaid principal of and interest on (including interest accruing after the maturity of the Loans and interest accruing after the filing of any petition in bankruptcy, or the commencement of any insolvency, reorganization, receivership, examinership, rescue process, administration or like proceeding, relating to any Loan Party, whether or not a claim for post-filing or post-petition interest is allowed or allowable in such proceeding) the Loans and all other obligations and liabilities (including any fees, premiums (including the Prepayment Premium) or expenses that accrue after the filing of any petition in bankruptcy, or the commencement of any Insolvency Proceeding, relating to any Loan Party, whether or not a claim for post-filing or post-petition interest is allowed or allowable in such proceeding) of the Loan Parties to the Administrative Agent or any other Lender, or of any Group Member,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payment obligations, fees, indemnities, costs, and expenses that are required to be paid by any Loan Party pursuant to any Loan Document or otherwise. For the avoidance of doubt, the Obligations shall not include any obligations arising under any warrants or other equity instruments issued by any Loan Party to any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OFAC</w:t>
      </w:r>
      <w:r>
        <w:rPr>
          <w:color w:val="000000"/>
        </w:rPr>
        <w:t>”</w:t>
      </w:r>
      <w:r>
        <w:rPr>
          <w:rFonts w:ascii="Times New Roman;sans-serif" w:hAnsi="Times New Roman;sans-serif"/>
          <w:b w:val="false"/>
          <w:color w:val="000000"/>
          <w:sz w:val="22"/>
        </w:rPr>
        <w:t>: the Office of Foreign Assets Control of the U.S. Department of the Treasury and any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Operating Documents</w:t>
      </w:r>
      <w:r>
        <w:rPr>
          <w:color w:val="000000"/>
        </w:rPr>
        <w:t>”</w:t>
      </w:r>
      <w:r>
        <w:rPr>
          <w:rFonts w:ascii="Times New Roman;sans-serif" w:hAnsi="Times New Roman;sans-serif"/>
          <w:b w:val="false"/>
          <w:color w:val="000000"/>
          <w:sz w:val="22"/>
        </w:rPr>
        <w:t>: for any Person as of any date, (A) such Person’s constitutional documents, formation documents and/or certificate of incorporation (or equivalent thereof), and, (B) (i) if such Person is a corporation or company, its bylaws or memorandum and articles of association (or equivalent thereof) in current form, (ii) if such Person is a limited liability company, its limited liability company agreement and each related plan of division and certificate of division (or similar agreements) and (iii) if such Person is a partnership, its partnership agreement (or similar agreement), each of the foregoing with all current amendments or modifications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Other Connection Taxes</w:t>
      </w:r>
      <w:r>
        <w:rPr>
          <w:color w:val="000000"/>
        </w:rPr>
        <w:t>”</w:t>
      </w:r>
      <w:r>
        <w:rPr>
          <w:rFonts w:ascii="Times New Roman;sans-serif" w:hAnsi="Times New Roman;sans-serif"/>
          <w:b w:val="false"/>
          <w:color w:val="000000"/>
          <w:sz w:val="22"/>
        </w:rPr>
        <w:t xml:space="preserve">: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560705"/>
                <wp:effectExtent l="0" t="0" r="0" b="0"/>
                <wp:wrapNone/>
                <wp:docPr id="155" name="Frame15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any other transaction pursuant to or enforced any Loan Document, or sold or assigned an interest in any Loan or Loan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Other Taxes</w:t>
      </w:r>
      <w:r>
        <w:rPr>
          <w:color w:val="000000"/>
        </w:rPr>
        <w:t>”</w:t>
      </w:r>
      <w:r>
        <w:rPr>
          <w:rFonts w:ascii="Times New Roman;sans-serif" w:hAnsi="Times New Roman;sans-serif"/>
          <w:b w:val="false"/>
          <w:color w:val="000000"/>
          <w:sz w:val="22"/>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Participant</w:t>
      </w:r>
      <w:r>
        <w:rPr>
          <w:color w:val="000000"/>
        </w:rPr>
        <w:t>”</w:t>
      </w:r>
      <w:r>
        <w:rPr>
          <w:rFonts w:ascii="Times New Roman;sans-serif" w:hAnsi="Times New Roman;sans-serif"/>
          <w:b w:val="false"/>
          <w:color w:val="000000"/>
          <w:sz w:val="22"/>
        </w:rPr>
        <w:t>: is defined in Section 10.6(d).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Participant Register</w:t>
      </w:r>
      <w:r>
        <w:rPr>
          <w:color w:val="000000"/>
        </w:rPr>
        <w:t>”</w:t>
      </w:r>
      <w:r>
        <w:rPr>
          <w:rFonts w:ascii="Times New Roman;sans-serif" w:hAnsi="Times New Roman;sans-serif"/>
          <w:b w:val="false"/>
          <w:color w:val="000000"/>
          <w:sz w:val="22"/>
        </w:rPr>
        <w:t>: is defined in Section 10.6(d).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PATRIOT Act</w:t>
      </w:r>
      <w:r>
        <w:rPr>
          <w:color w:val="000000"/>
        </w:rPr>
        <w:t>”</w:t>
      </w:r>
      <w:r>
        <w:rPr>
          <w:rFonts w:ascii="Times New Roman;sans-serif" w:hAnsi="Times New Roman;sans-serif"/>
          <w:b w:val="false"/>
          <w:color w:val="000000"/>
          <w:sz w:val="22"/>
        </w:rPr>
        <w:t>: the Uniting and Strengthening America by Providing Appropriate Tools Required to Intercept and Obstruct Terrorism (USA PATRIOT ACT) Act of 2001, Title III of Pub. L. 107-56, signed into law October 26, 2001.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PBGC</w:t>
      </w:r>
      <w:r>
        <w:rPr>
          <w:color w:val="000000"/>
        </w:rPr>
        <w:t>”</w:t>
      </w:r>
      <w:r>
        <w:rPr>
          <w:rFonts w:ascii="Times New Roman;sans-serif" w:hAnsi="Times New Roman;sans-serif"/>
          <w:b w:val="false"/>
          <w:color w:val="000000"/>
          <w:sz w:val="22"/>
        </w:rPr>
        <w:t>: the Pension Benefit Guaranty Corporation, or any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Pension Plan</w:t>
      </w:r>
      <w:r>
        <w:rPr>
          <w:color w:val="000000"/>
        </w:rPr>
        <w:t>”</w:t>
      </w:r>
      <w:r>
        <w:rPr>
          <w:rFonts w:ascii="Times New Roman;sans-serif" w:hAnsi="Times New Roman;sans-serif"/>
          <w:b w:val="false"/>
          <w:color w:val="000000"/>
          <w:sz w:val="22"/>
        </w:rPr>
        <w:t>: an employee pension plan (as defined in Section 3(3) of ERISA) other than a Multiemployer Plan (i) that is maintained or sponsored by any Loan Party or any ERISA Affiliate thereof or to which any Loan Party or any ERISA Affiliate thereof makes contributions or has any outstanding liability, and (ii) that is subject to the provisions of Title IV of ERISA or Sections 412 and 430 of the Code or Sections 302 and 303 of ERISA and in respect of which any Loan Party or any ERISA Affiliate thereof is (or if such plan were terminated would under Section 4069 of ERISA be deemed to be) a “contributing sponsor” as defined in Section 4001(a)(13)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Permits</w:t>
      </w:r>
      <w:r>
        <w:rPr>
          <w:color w:val="000000"/>
        </w:rPr>
        <w:t>”</w:t>
      </w:r>
      <w:r>
        <w:rPr>
          <w:rFonts w:ascii="Times New Roman;sans-serif" w:hAnsi="Times New Roman;sans-serif"/>
          <w:b w:val="false"/>
          <w:color w:val="000000"/>
          <w:sz w:val="22"/>
        </w:rPr>
        <w:t>: all registrations, listings, approvals, clearances, licenses, certificates, marks, labeling, authorizations, exemptions, accreditations, provider or supplier numbers, or permits, Health Care Permits, and supplements or amendments thereto issued or required by a Governmental Authority, or any foreign equivalents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Permitted Acquisition</w:t>
      </w:r>
      <w:r>
        <w:rPr>
          <w:color w:val="000000"/>
        </w:rPr>
        <w:t>”</w:t>
      </w:r>
      <w:r>
        <w:rPr>
          <w:rFonts w:ascii="Times New Roman;sans-serif" w:hAnsi="Times New Roman;sans-serif"/>
          <w:b w:val="false"/>
          <w:color w:val="000000"/>
          <w:sz w:val="22"/>
        </w:rPr>
        <w:t>: is defined in Section 7.8(n).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Permitted Bond Hedge Transaction</w:t>
      </w:r>
      <w:r>
        <w:rPr>
          <w:color w:val="000000"/>
        </w:rPr>
        <w:t>”</w:t>
      </w:r>
      <w:r>
        <w:rPr>
          <w:rFonts w:ascii="Times New Roman;sans-serif" w:hAnsi="Times New Roman;sans-serif"/>
          <w:b w:val="false"/>
          <w:color w:val="000000"/>
          <w:sz w:val="22"/>
        </w:rPr>
        <w:t xml:space="preserve">: any customary call or capped call option (or substantively equivalent derivative transaction) pursuant to which the Borrower acquires an option requiring the counterparty thereto to deliver to the Borrower (i) shares of the Borrower’s common stock (or other securities or property following a merger event or other change of the common stock of the Borrower), (ii) the cash value thereof or (iii) a combination thereof, in each case, from time to time upon the exercise of such option, which call or capped call option shall be entered into by the Borrower in connection with the issuance of any Permitted Convertible Indebtedness;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purchase price for such Permitted Bond Hedge Transaction, less the proceeds received by the Borrower from the sale of any related Permitted Warrant Transaction, does not exceed the net proceeds received by the Borrower from the sale or issuance of such Permitted Convertible Indebtedness issued in connection with such Permitted Bond Hedge Transaction.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Permitted Convertible Indebtedness</w:t>
      </w:r>
      <w:r>
        <w:rPr>
          <w:color w:val="000000"/>
        </w:rPr>
        <w:t>”</w:t>
      </w:r>
      <w:r>
        <w:rPr>
          <w:rFonts w:ascii="Times New Roman;sans-serif" w:hAnsi="Times New Roman;sans-serif"/>
          <w:b w:val="false"/>
          <w:color w:val="000000"/>
          <w:sz w:val="22"/>
        </w:rPr>
        <w:t xml:space="preserve">: senior, unsecured Indebtedness of the Borrower that is either (i) convertible into shares of common stock of the Borrower (or other securities or property following a merger event or other change of the common stock of the Borrower) (and cash in lieu of fractional shares),cash or any combination thereof (with the amount of such cash or such combination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560705"/>
                <wp:effectExtent l="0" t="0" r="0" b="0"/>
                <wp:wrapNone/>
                <wp:docPr id="156" name="Frame15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determined by reference to the market price of such common stock or such other securities) or (ii) sold as units with call options, warrants or rights to purchase (or substantially equivalent derivative transactions) that are exercisable for shares of common stock of the Borrower (or other securities or property following a merger event or other change of the common stock of the Borrower) (and cash in lieu of fractional shares), cash or any combination thereof (with the amount of such cash or such combination determined by reference to the market price of such common stock or such other securities);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any such Indebtedness shall be subject to the following conditions: (a) such Permitted Convertible Indebtedness shall not be guaranteed or secured, (b) the Permitted Convertible Indebtedness shall not have scheduled maturity date earlier than 91 days after the Maturity Date (it being understood, that neither (x) any offer to purchase such Indebtedness as a result of a “change of control”, “fundamental change” or any comparable term under and as defined in any indenture governing any Permitted Convertible Indebtedness, solely to the extent that prior to such purchase the Loans are paid in full in cash (unless otherwise permitted by Section 7.6(g), 7.6(l) and/or 7.6(o)), (y) any early conversion of such Indebtedness in accordance with the terms thereof into Capital Stock of the Borrower nor (z) the inclusion of any optional redemption by the Borrower of such Indebtedness upon satisfaction of a condition related to the stock price of the Borrower’s common stock, in each case, to the extent permitted by this Agreement, shall violate the restriction of this clause (b)) and (c) such Permitted Convertible Indebtedness shall not contain amortization payments.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Permitted Convertible Indebtedness Debt Cap</w:t>
      </w:r>
      <w:r>
        <w:rPr>
          <w:color w:val="000000"/>
        </w:rPr>
        <w:t>”</w:t>
      </w:r>
      <w:r>
        <w:rPr>
          <w:rFonts w:ascii="Times New Roman;sans-serif" w:hAnsi="Times New Roman;sans-serif"/>
          <w:b w:val="false"/>
          <w:color w:val="000000"/>
          <w:sz w:val="22"/>
        </w:rPr>
        <w:t>: with respect to any issuance of Permitted Convertible Indebtedness pursuant to Section 7.2(n), determined as of any Applicable Additional Convertible Debt Purchase Agreement Date, (i) zero (0), if the Average Market Capitalization of the Borrower as of such Applicable Additional Convertible Debt Purchase Agreement Date does not exceed $650,000,000, (ii) $50,000,000, if the Applicable Average Market Capitalization of the Borrower as of such Applicable Additional Convertible Debt Purchase Agreement Date is equal to or greater than $650,000,000 but less than $1,000,000,000, and (iii) $100,000,000, if the Average Market Capitalization of the Borrower as of such Applicable Additional Convertible Debt Purchase Agreement Date is equal to or greater than $1,000,000,000.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Permitted Convertible Note Payments</w:t>
      </w:r>
      <w:r>
        <w:rPr>
          <w:color w:val="000000"/>
        </w:rPr>
        <w:t>”</w:t>
      </w:r>
      <w:r>
        <w:rPr>
          <w:rFonts w:ascii="Times New Roman;sans-serif" w:hAnsi="Times New Roman;sans-serif"/>
          <w:b w:val="false"/>
          <w:color w:val="000000"/>
          <w:sz w:val="22"/>
        </w:rPr>
        <w:t>: a repayment, prepayment, redemption (upon satisfaction of a condition related to the stock price of the Borrower’s common stock) or repurchase of all or any portion of the principal amount of the Existing Convertible Notes, any cash payment due in respect of any conversion by the holders thereunder and/or any required payment of interest with respect thereto, in each case, so long as no Default or Event of Default exists at the time of such payment or would result therefrom.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Permitted Ratio Debt</w:t>
      </w:r>
      <w:r>
        <w:rPr>
          <w:color w:val="000000"/>
        </w:rPr>
        <w:t>”</w:t>
      </w:r>
      <w:r>
        <w:rPr>
          <w:rFonts w:ascii="Times New Roman;sans-serif" w:hAnsi="Times New Roman;sans-serif"/>
          <w:b w:val="false"/>
          <w:color w:val="000000"/>
          <w:sz w:val="22"/>
        </w:rPr>
        <w:t xml:space="preserve">: Indebtedness of the Borrower incurred on an unsecured basis so long as (a) immediately before and after giving effect thereto, no Event of Default has occurred and is continuing, (b) immediately after giving effect to the incurrence of such Indebtedness and the application of the proceeds thereof, the Consolidated Net Leverage Ratio shall not exceed 5.00 to 1.00 (in each case excluding cash proceeds of such Permitted Ratio Debt and assuming such Permitted Ratio Debt is fully drawn) calculated on a Pro Forma Basis as of the end of the most recent Test Period, and (c) such Permitted Ratio Debt shall not be guaranteed by a Person that is not a Loan Party;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 the Permitted Ratio Debt will not mature earlier than 180 days following the Maturity Date for, or have a shorter weighted average life to maturity than, the Initial Loans, and (ii) the covenants and events of default of such Permitted Ratio Debt (excluding, for the avoidance of doubt, pricing and optional prepayment or redemption terms) will be substantially identical to, or (as reasonably determined by the Borrower and the Administrative Agent in good faith) taken as a whole no more favorable to the lenders providing such Permitted Ratio Debt than, those applicable to the Initial Loans (except for covenants and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560705"/>
                <wp:effectExtent l="0" t="0" r="0" b="0"/>
                <wp:wrapNone/>
                <wp:docPr id="157" name="Frame15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39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events of default that are (x) approved by the Administrative Agent, (y) applied to the Facilities existing at the time of incurrence of such Permitted Ratio Debt (so that existing Lenders also receive the benefit of such provisions) and/or (z) applicable only to periods after the Maturity Date of the Facilities existing at the time of incurrence of such Permitted Ratio Debt).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Permitted Refinancing</w:t>
      </w:r>
      <w:r>
        <w:rPr>
          <w:color w:val="000000"/>
        </w:rPr>
        <w:t>”</w:t>
      </w:r>
      <w:r>
        <w:rPr>
          <w:rFonts w:ascii="Times New Roman;sans-serif" w:hAnsi="Times New Roman;sans-serif"/>
          <w:b w:val="false"/>
          <w:color w:val="000000"/>
          <w:sz w:val="22"/>
        </w:rPr>
        <w:t xml:space="preserve">: with respect to any Person, any refinancing, replacement, refunding, renewal or extension of any Indebtedness of such Person;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 the principal amount (or accreted value, if applicable) thereof does not exceed the principal amount (or accreted value, if applicable) of the Indebtedness so refinanced, refunded, replaced, renewed or extended except by an amount equal to unpaid accrued interest and premium thereon plus other reasonable amounts paid, and fees and expenses reasonably incurred, in connection with such refinancing, replacement, refunding, renewal or extension, (b) such refinancing, refunding, renewal or extension has a final stated maturity date equal to or later than the final maturity date of, and has a weighted average life to maturity equal to or greater than the weighted average life to maturity of, the Indebtedness being refinanced, refunded, renewed or extended, (c) such refinanced, refunded, renewed or extended Indebtedness shall only be guaranteed by the Borrower and/or the Subsidiaries of the Borrower that are otherwise guarantors of the Indebtedness being refinanced, refunded, renewed or extended or that are otherwise guarantors of the Indebtedness under the Loan Documents, in each case, at the time of such refinancing, refund, renewal or extension of Indebtedness occurs, (d) (i) such refinanced, refunded, renewed or extended Indebtedness shall not be secured by any property or assets other than the property or assets that were or were required to be collateral (and then only with the same or lesser priority) for the Indebtedness being refinanced, refunded, renewed or extended at the time of such refinancing, refunding, renewal or extension unless in connection with an acquisition to the extent any additional property or assets constituting Collateral for the refinanced, refunded, renewed or extended Indebtedness also secure the Obligations in accordance with the terms herein and (ii) to the extent such Indebtedness being so refinanced, refunded, renewed or extended is unsecured, such refinancing, refunding, renewal or extension shall also be unsecured, and (e) (i) to the extent such Indebtedness being so refinanced, refunded, renewed or extended is contractually subordinated in right of payment or lien priority to the Obligations, such modification, refinancing, refunding, renewal or extension is subordinated in right of payment or lien priority to the Obligations on terms (x) at least as favorable, taken as a whole (as determined by the Borrower), to the Lenders as those contained in the documentation governing the Indebtedness (including any Intercreditor Agreement with respect thereto) being so refinanced, refunded, renewed or extended or (y) otherwise approved by the Administrative Agent; and (ii) the terms and conditions (including, if applicable, as to collateral but excluding as to subordination, pricing, premiums, interest rate and optional prepayment and redemption) of any such refinanced, refunded, renewed or extended Indebtedness are substantially identical to, or (taken as a whole) no more favorable to the lenders or investors providing such refinanced, refunded, renewed or extended Indebtedness, as applicable, than those applicable to the Indebtedness being refinanced for periods ending on or prior to the Maturity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Permitted Reinvestment Assets</w:t>
      </w:r>
      <w:r>
        <w:rPr>
          <w:color w:val="000000"/>
        </w:rPr>
        <w:t>”</w:t>
      </w:r>
      <w:r>
        <w:rPr>
          <w:rFonts w:ascii="Times New Roman;sans-serif" w:hAnsi="Times New Roman;sans-serif"/>
          <w:b w:val="false"/>
          <w:color w:val="000000"/>
          <w:sz w:val="22"/>
        </w:rPr>
        <w:t>: replacement assets, fixed assets (including equipment, machinery, buildings, facilities and vehicles) useful in the business of the Borrower and its Subsidiaries, acquisitions and other Investments (but not intercompany Investments or Investments in cash and Cash Equivalents) and capital expenditures, but excluding working capital assets (including cash, Cash Equivalents, accounts receivable and Inventory).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Permitted Warrant Transaction</w:t>
      </w:r>
      <w:r>
        <w:rPr>
          <w:color w:val="000000"/>
        </w:rPr>
        <w:t>”</w:t>
      </w:r>
      <w:r>
        <w:rPr>
          <w:rFonts w:ascii="Times New Roman;sans-serif" w:hAnsi="Times New Roman;sans-serif"/>
          <w:b w:val="false"/>
          <w:color w:val="000000"/>
          <w:sz w:val="22"/>
        </w:rPr>
        <w:t xml:space="preserve">: any call option, warrant or right to purchase (or substantively equivalent derivative transaction) relating to the Borrower’s common stock (or other securities or property following a merger event or other change of the common stock of the Borrower) and/or cash (in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560705"/>
                <wp:effectExtent l="0" t="0" r="0" b="0"/>
                <wp:wrapNone/>
                <wp:docPr id="158" name="Frame15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 amount determined by reference to the price of such common stock) sold by the Borrower substantially concurrently with any purchase by the Borrower of a Permitted Bond Hedge Transaction.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Person</w:t>
      </w:r>
      <w:r>
        <w:rPr>
          <w:color w:val="000000"/>
        </w:rPr>
        <w:t>”</w:t>
      </w:r>
      <w:r>
        <w:rPr>
          <w:rFonts w:ascii="Times New Roman;sans-serif" w:hAnsi="Times New Roman;sans-serif"/>
          <w:b w:val="false"/>
          <w:color w:val="000000"/>
          <w:sz w:val="22"/>
        </w:rPr>
        <w:t>: any natural person, corporation, limited liability company, trust, joint venture, association, company, partnership, Governmental Authority or other entity.</w:t>
      </w:r>
    </w:p>
    <w:p>
      <w:pPr>
        <w:pStyle w:val="TextBody"/>
        <w:bidi w:val="0"/>
        <w:spacing w:lineRule="auto" w:line="288" w:before="0" w:after="220"/>
        <w:ind w:left="0" w:right="0" w:firstLine="709"/>
        <w:jc w:val="both"/>
        <w:rPr/>
      </w:pPr>
      <w:r>
        <w:rPr>
          <w:color w:val="000000"/>
        </w:rPr>
        <w:t>“</w:t>
      </w:r>
      <w:r>
        <w:rPr>
          <w:rFonts w:ascii="Times New Roman;sans-serif" w:hAnsi="Times New Roman;sans-serif"/>
          <w:b/>
          <w:i/>
          <w:color w:val="000000"/>
          <w:sz w:val="22"/>
        </w:rPr>
        <w:t>Personal Information</w:t>
      </w:r>
      <w:r>
        <w:rPr>
          <w:color w:val="000000"/>
        </w:rPr>
        <w:t>”</w:t>
      </w:r>
      <w:r>
        <w:rPr>
          <w:rFonts w:ascii="Times New Roman;sans-serif" w:hAnsi="Times New Roman;sans-serif"/>
          <w:b w:val="false"/>
          <w:color w:val="000000"/>
          <w:sz w:val="22"/>
        </w:rPr>
        <w:t xml:space="preserve">: has the same meaning as the term “personal data,” “personal information,” “PHI” (as defined below) or the equivalent under applicable Data Privacy Laws. </w:t>
      </w:r>
    </w:p>
    <w:p>
      <w:pPr>
        <w:pStyle w:val="TextBody"/>
        <w:bidi w:val="0"/>
        <w:spacing w:lineRule="auto" w:line="288" w:before="0" w:after="220"/>
        <w:jc w:val="both"/>
        <w:rPr/>
      </w:pPr>
      <w:r>
        <w:rPr>
          <w:color w:val="000000"/>
        </w:rPr>
        <w:t>“</w:t>
      </w:r>
      <w:r>
        <w:rPr>
          <w:rFonts w:ascii="Times New Roman;sans-serif" w:hAnsi="Times New Roman;sans-serif"/>
          <w:b/>
          <w:i/>
          <w:color w:val="000000"/>
          <w:sz w:val="22"/>
        </w:rPr>
        <w:t>PHI</w:t>
      </w:r>
      <w:r>
        <w:rPr>
          <w:color w:val="000000"/>
        </w:rPr>
        <w:t xml:space="preserve">” </w:t>
      </w:r>
      <w:r>
        <w:rPr>
          <w:rFonts w:ascii="Times New Roman;sans-serif" w:hAnsi="Times New Roman;sans-serif"/>
          <w:b w:val="false"/>
          <w:color w:val="000000"/>
          <w:sz w:val="22"/>
        </w:rPr>
        <w:t xml:space="preserve">has the meaning set forth in 45 C.F.R. § 160.103.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Platform</w:t>
      </w:r>
      <w:r>
        <w:rPr>
          <w:color w:val="000000"/>
        </w:rPr>
        <w:t>”</w:t>
      </w:r>
      <w:r>
        <w:rPr>
          <w:rFonts w:ascii="Times New Roman;sans-serif" w:hAnsi="Times New Roman;sans-serif"/>
          <w:b w:val="false"/>
          <w:color w:val="000000"/>
          <w:sz w:val="22"/>
        </w:rPr>
        <w:t>: is any of Debt Domain, Intralinks, Syndtrak, DebtX or a substantially similar electronic transmission system.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Pledged Stock</w:t>
      </w:r>
      <w:r>
        <w:rPr>
          <w:color w:val="000000"/>
        </w:rPr>
        <w:t>”</w:t>
      </w:r>
      <w:r>
        <w:rPr>
          <w:rFonts w:ascii="Times New Roman;sans-serif" w:hAnsi="Times New Roman;sans-serif"/>
          <w:b w:val="false"/>
          <w:color w:val="000000"/>
          <w:sz w:val="22"/>
        </w:rPr>
        <w:t>: is defined in the Guarantee and Collateral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Prepayment Premium</w:t>
      </w:r>
      <w:r>
        <w:rPr>
          <w:color w:val="000000"/>
        </w:rPr>
        <w:t>”</w:t>
      </w:r>
      <w:r>
        <w:rPr>
          <w:rFonts w:ascii="Times New Roman;sans-serif" w:hAnsi="Times New Roman;sans-serif"/>
          <w:b w:val="false"/>
          <w:color w:val="000000"/>
          <w:sz w:val="22"/>
        </w:rPr>
        <w:t>: is defined in Section 2.9(d).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Pre-Funding Letter</w:t>
      </w:r>
      <w:r>
        <w:rPr>
          <w:color w:val="000000"/>
        </w:rPr>
        <w:t>”</w:t>
      </w:r>
      <w:r>
        <w:rPr>
          <w:rFonts w:ascii="Times New Roman;sans-serif" w:hAnsi="Times New Roman;sans-serif"/>
          <w:b w:val="false"/>
          <w:color w:val="000000"/>
          <w:sz w:val="22"/>
        </w:rPr>
        <w:t>: that certain Project Snowcap: Pre-Funding Letter, dated as of July 15, 2024, by and among the Borrower, the Administrative Agent and the Lenders party thereto.</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Prime Rate</w:t>
      </w:r>
      <w:r>
        <w:rPr>
          <w:color w:val="000000"/>
        </w:rPr>
        <w:t>”</w:t>
      </w:r>
      <w:r>
        <w:rPr>
          <w:rFonts w:ascii="Times New Roman;sans-serif" w:hAnsi="Times New Roman;sans-serif"/>
          <w:b w:val="false"/>
          <w:color w:val="000000"/>
          <w:sz w:val="22"/>
        </w:rPr>
        <w:t xml:space="preserve">: the “U.S. Prime Lending Rate” as published in The Wall Street Journal as the “Prime Rate” in the U.S. or, if The Wall Street Journal ceases to quote such rate, the highest </w:t>
      </w:r>
      <w:r>
        <w:rPr>
          <w:rFonts w:ascii="Times New Roman;sans-serif" w:hAnsi="Times New Roman;sans-serif"/>
          <w:b w:val="false"/>
          <w:i/>
          <w:color w:val="000000"/>
          <w:sz w:val="22"/>
        </w:rPr>
        <w:t>per annum</w:t>
      </w:r>
      <w:r>
        <w:rPr>
          <w:color w:val="000000"/>
        </w:rPr>
        <w:t xml:space="preserve"> </w:t>
      </w:r>
      <w:r>
        <w:rPr>
          <w:rFonts w:ascii="Times New Roman;sans-serif" w:hAnsi="Times New Roman;sans-serif"/>
          <w:b w:val="false"/>
          <w:color w:val="000000"/>
          <w:sz w:val="22"/>
        </w:rPr>
        <w:t>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Pro Forma Basis</w:t>
      </w:r>
      <w:r>
        <w:rPr>
          <w:color w:val="000000"/>
        </w:rPr>
        <w:t>”</w:t>
      </w:r>
      <w:r>
        <w:rPr>
          <w:rFonts w:ascii="Times New Roman;sans-serif" w:hAnsi="Times New Roman;sans-serif"/>
          <w:b w:val="false"/>
          <w:color w:val="000000"/>
          <w:sz w:val="22"/>
        </w:rPr>
        <w:t>: with respect to any calculation or determination of Consolidated Adjusted EBITDA, the ARR Net Leverage Ratio, the ARR Total Leverage Ratio, the Consolidated First Lien Net Leverage Ratio, the Consolidated Net Leverage Ratio and the Consolidated Secured Net Leverage Ratio for any period, in making such calculation or determination on the specified date of determination (the “</w:t>
      </w:r>
      <w:r>
        <w:rPr>
          <w:rFonts w:ascii="Times New Roman;sans-serif" w:hAnsi="Times New Roman;sans-serif"/>
          <w:b/>
          <w:i/>
          <w:color w:val="000000"/>
          <w:sz w:val="22"/>
        </w:rPr>
        <w:t>Determination Date</w:t>
      </w:r>
      <w:r>
        <w:rPr>
          <w:color w:val="000000"/>
        </w:rPr>
        <w:t>”</w:t>
      </w:r>
      <w:r>
        <w:rPr>
          <w:rFonts w:ascii="Times New Roman;sans-serif" w:hAnsi="Times New Roman;sans-serif"/>
          <w:b w:val="false"/>
          <w:color w:val="000000"/>
          <w:sz w:val="22"/>
        </w:rPr>
        <w:t xml:space="preserve">), pro forma effect will be given to: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(i) the acquisition or disposition of companies, divisions or lines of businesses by the Borrower and its Subsidiaries, including any acquisition or disposition of a company, division or line of business since the beginning of the Test Period by a Person that became a Subsidiary after the beginning of the applicable period; and (ii) the discontinuation of any discontinued operations; in each case of clauses (i) and (ii), that have occurred since the beginning of the applicable period and before the Determination Date as if such events had occurred, and, in the case of any disposition, the proceeds thereof applied, on the first day of such period; and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with respect to any incurrence, assumption, guarantee, redemption or permanent repayment of Indebtedness that has occurred since the beginning of the applicable period and before the Determination Date, as if such incurrence, assumption, guarantee, redemption or repayment of Indebtedness had occurred on the first day of such period.</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560705"/>
                <wp:effectExtent l="0" t="0" r="0" b="0"/>
                <wp:wrapNone/>
                <wp:docPr id="159" name="Frame15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Processed</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i/>
          <w:color w:val="000000"/>
          <w:sz w:val="22"/>
        </w:rPr>
        <w:t>Processing</w:t>
      </w:r>
      <w:r>
        <w:rPr>
          <w:color w:val="000000"/>
        </w:rPr>
        <w:t>”</w:t>
      </w:r>
      <w:r>
        <w:rPr>
          <w:rFonts w:ascii="Times New Roman;sans-serif" w:hAnsi="Times New Roman;sans-serif"/>
          <w:b w:val="false"/>
          <w:color w:val="000000"/>
          <w:sz w:val="22"/>
        </w:rPr>
        <w:t xml:space="preserve">: with respect to Personal Information, the access, use, collection, treatment, processing, storage, hosting, recording, organization, adaptation, alteration, transfer, retrieval, transmittal, consultation, disclosure, disposal or combination of such Personal Information.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Projections</w:t>
      </w:r>
      <w:r>
        <w:rPr>
          <w:color w:val="000000"/>
        </w:rPr>
        <w:t>”</w:t>
      </w:r>
      <w:r>
        <w:rPr>
          <w:rFonts w:ascii="Times New Roman;sans-serif" w:hAnsi="Times New Roman;sans-serif"/>
          <w:b w:val="false"/>
          <w:color w:val="000000"/>
          <w:sz w:val="22"/>
        </w:rPr>
        <w:t>: is defined in Section 6.2(c).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Properties</w:t>
      </w:r>
      <w:r>
        <w:rPr>
          <w:color w:val="000000"/>
        </w:rPr>
        <w:t>”</w:t>
      </w:r>
      <w:r>
        <w:rPr>
          <w:rFonts w:ascii="Times New Roman;sans-serif" w:hAnsi="Times New Roman;sans-serif"/>
          <w:b w:val="false"/>
          <w:color w:val="000000"/>
          <w:sz w:val="22"/>
        </w:rPr>
        <w:t>: is defined in Section 4.17(a).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PTE</w:t>
      </w:r>
      <w:r>
        <w:rPr>
          <w:color w:val="000000"/>
        </w:rPr>
        <w:t>”</w:t>
      </w:r>
      <w:r>
        <w:rPr>
          <w:rFonts w:ascii="Times New Roman;sans-serif" w:hAnsi="Times New Roman;sans-serif"/>
          <w:b w:val="false"/>
          <w:color w:val="000000"/>
          <w:sz w:val="22"/>
        </w:rPr>
        <w:t xml:space="preserve">: a prohibited transaction class exemption issued by the U.S. Department of Labor, as any such exemption may be amended from time to time.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QFC</w:t>
      </w:r>
      <w:r>
        <w:rPr>
          <w:color w:val="000000"/>
        </w:rPr>
        <w:t>”</w:t>
      </w:r>
      <w:r>
        <w:rPr>
          <w:rFonts w:ascii="Times New Roman;sans-serif" w:hAnsi="Times New Roman;sans-serif"/>
          <w:b w:val="false"/>
          <w:color w:val="000000"/>
          <w:sz w:val="22"/>
        </w:rPr>
        <w:t xml:space="preserve">: has the meaning assigned to the term “qualified financial contract” in, and shall be interpreted in accordance with, 12 U.S.C. 5390(c)(8)(D).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Qualifying Loans</w:t>
      </w:r>
      <w:r>
        <w:rPr>
          <w:color w:val="000000"/>
        </w:rPr>
        <w:t xml:space="preserve">” </w:t>
      </w:r>
      <w:r>
        <w:rPr>
          <w:rFonts w:ascii="Times New Roman;sans-serif" w:hAnsi="Times New Roman;sans-serif"/>
          <w:b w:val="false"/>
          <w:color w:val="000000"/>
          <w:sz w:val="22"/>
        </w:rPr>
        <w:t>as defined in Section 2.29(c).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Ratio Investments Basket</w:t>
      </w:r>
      <w:r>
        <w:rPr>
          <w:color w:val="000000"/>
        </w:rPr>
        <w:t>”</w:t>
      </w:r>
      <w:r>
        <w:rPr>
          <w:rFonts w:ascii="Times New Roman;sans-serif" w:hAnsi="Times New Roman;sans-serif"/>
          <w:b w:val="false"/>
          <w:color w:val="000000"/>
          <w:sz w:val="22"/>
        </w:rPr>
        <w:t>: as defined in Section 7.8(r).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Recipient</w:t>
      </w:r>
      <w:r>
        <w:rPr>
          <w:color w:val="000000"/>
        </w:rPr>
        <w:t>”</w:t>
      </w:r>
      <w:r>
        <w:rPr>
          <w:rFonts w:ascii="Times New Roman;sans-serif" w:hAnsi="Times New Roman;sans-serif"/>
          <w:b w:val="false"/>
          <w:color w:val="000000"/>
          <w:sz w:val="22"/>
        </w:rPr>
        <w:t>: the (a) Administrative Agent, or (b) any Lender,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Recovery Event</w:t>
      </w:r>
      <w:r>
        <w:rPr>
          <w:color w:val="000000"/>
        </w:rPr>
        <w:t>”</w:t>
      </w:r>
      <w:r>
        <w:rPr>
          <w:rFonts w:ascii="Times New Roman;sans-serif" w:hAnsi="Times New Roman;sans-serif"/>
          <w:b w:val="false"/>
          <w:color w:val="000000"/>
          <w:sz w:val="22"/>
        </w:rPr>
        <w:t>: any settlement of or payment in respect of any property or casualty insurance claim or any condemnation proceeding relating to any asset of any Group Member.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Recurring Revenue</w:t>
      </w:r>
      <w:r>
        <w:rPr>
          <w:color w:val="000000"/>
        </w:rPr>
        <w:t>”</w:t>
      </w:r>
      <w:r>
        <w:rPr>
          <w:rFonts w:ascii="Times New Roman;sans-serif" w:hAnsi="Times New Roman;sans-serif"/>
          <w:b w:val="false"/>
          <w:color w:val="000000"/>
          <w:sz w:val="22"/>
        </w:rPr>
        <w:t xml:space="preserve">: with respect to any measurement period, all recurring revenues attributable to the “technology” business of the Borrower or any of its Subsidiaries (primarily consisting of the data platform, applications including developed and acquired applications, hosting and technology support services, and data licenses) in the ordinary course of business, which recurring revenues are earned during such period net of any discounts and calculated on a basis consistent with the excel file entitled Project Snowcap Revenue by Client delivered to the Administrative Agent on June 20, 2024;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Recurring Revenue shall exclude recurring services revenue earned from TEMS contracts or other similar sources of primarily services revenue. There shall be included in determining Recurring Revenues for any period, without duplication, the Acquired Recurring Revenues of any Acquired Entity or Business (but not the Acquired Recurring Revenues of any related Person, property, business or asset to the extent not acquired during such period) based on the actual Acquired Recurring Revenues of such Acquired Entity or Business for such period (including the portion thereof occurring prior to such acquisition or investment). For purposes of determining the ARR Net Leverage Ratio or the ARR Total Leverage Ratio, there shall be excluded in determining Recurring Revenues for any period the Disposed Recurring Revenues of any Sold Entity or Business, based on the actual Disposed Recurring Revenues of such Sold Entity or Business for such period (including the portion thereof occurring prior to such sale, transfer or disposition).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Refinanced Indebtedness</w:t>
      </w:r>
      <w:r>
        <w:rPr>
          <w:color w:val="000000"/>
        </w:rPr>
        <w:t>”</w:t>
      </w:r>
      <w:r>
        <w:rPr>
          <w:rFonts w:ascii="Times New Roman;sans-serif" w:hAnsi="Times New Roman;sans-serif"/>
          <w:b w:val="false"/>
          <w:color w:val="000000"/>
          <w:sz w:val="22"/>
        </w:rPr>
        <w:t>: is defined in the definition of “Credit Agreement Refinancing Indebtedness”.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Refinancing Amendment</w:t>
      </w:r>
      <w:r>
        <w:rPr>
          <w:color w:val="000000"/>
        </w:rPr>
        <w:t>”</w:t>
      </w:r>
      <w:r>
        <w:rPr>
          <w:rFonts w:ascii="Times New Roman;sans-serif" w:hAnsi="Times New Roman;sans-serif"/>
          <w:b w:val="false"/>
          <w:color w:val="000000"/>
          <w:sz w:val="22"/>
        </w:rPr>
        <w:t>: an amendment to this Agreement in form and substance reasonably satisfactory to the Administrative Agent and the Borrower executed by each of (a) the Borrower, (b) the Administrative Agent and (c) each Lender and/or prospective lender that agrees to provide any portion of the Credit Agreement Refinancing Indebtedness being incurred pursuant thereto, in accordance with Section 2.28.</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560705"/>
                <wp:effectExtent l="0" t="0" r="0" b="0"/>
                <wp:wrapNone/>
                <wp:docPr id="160" name="Frame16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Refinancing Commitments</w:t>
      </w:r>
      <w:r>
        <w:rPr>
          <w:color w:val="000000"/>
        </w:rPr>
        <w:t>”</w:t>
      </w:r>
      <w:r>
        <w:rPr>
          <w:rFonts w:ascii="Times New Roman;sans-serif" w:hAnsi="Times New Roman;sans-serif"/>
          <w:b w:val="false"/>
          <w:color w:val="000000"/>
          <w:sz w:val="22"/>
        </w:rPr>
        <w:t>: one or more tranches of Commitments that result from a Refinancing Amendment.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Refinancing Loans</w:t>
      </w:r>
      <w:r>
        <w:rPr>
          <w:color w:val="000000"/>
        </w:rPr>
        <w:t>”</w:t>
      </w:r>
      <w:r>
        <w:rPr>
          <w:rFonts w:ascii="Times New Roman;sans-serif" w:hAnsi="Times New Roman;sans-serif"/>
          <w:b w:val="false"/>
          <w:color w:val="000000"/>
          <w:sz w:val="22"/>
        </w:rPr>
        <w:t>: one or more tranches of Loans that result from a Refinancing Amendment.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Register</w:t>
      </w:r>
      <w:r>
        <w:rPr>
          <w:color w:val="000000"/>
        </w:rPr>
        <w:t>”</w:t>
      </w:r>
      <w:r>
        <w:rPr>
          <w:rFonts w:ascii="Times New Roman;sans-serif" w:hAnsi="Times New Roman;sans-serif"/>
          <w:b w:val="false"/>
          <w:color w:val="000000"/>
          <w:sz w:val="22"/>
        </w:rPr>
        <w:t>: is defined in Section 10.6(c).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Regulation T</w:t>
      </w:r>
      <w:r>
        <w:rPr>
          <w:color w:val="000000"/>
        </w:rPr>
        <w:t>”</w:t>
      </w:r>
      <w:r>
        <w:rPr>
          <w:rFonts w:ascii="Times New Roman;sans-serif" w:hAnsi="Times New Roman;sans-serif"/>
          <w:b w:val="false"/>
          <w:color w:val="000000"/>
          <w:sz w:val="22"/>
        </w:rPr>
        <w:t>: Regulation T of the Board as in effect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Regulation U</w:t>
      </w:r>
      <w:r>
        <w:rPr>
          <w:color w:val="000000"/>
        </w:rPr>
        <w:t>”</w:t>
      </w:r>
      <w:r>
        <w:rPr>
          <w:rFonts w:ascii="Times New Roman;sans-serif" w:hAnsi="Times New Roman;sans-serif"/>
          <w:b w:val="false"/>
          <w:color w:val="000000"/>
          <w:sz w:val="22"/>
        </w:rPr>
        <w:t>: Regulation U of the Board as in effect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Regulation X</w:t>
      </w:r>
      <w:r>
        <w:rPr>
          <w:color w:val="000000"/>
        </w:rPr>
        <w:t>”</w:t>
      </w:r>
      <w:r>
        <w:rPr>
          <w:rFonts w:ascii="Times New Roman;sans-serif" w:hAnsi="Times New Roman;sans-serif"/>
          <w:b w:val="false"/>
          <w:color w:val="000000"/>
          <w:sz w:val="22"/>
        </w:rPr>
        <w:t>: Regulation X of the Board as in effect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Reinvestment Deferred Amount</w:t>
      </w:r>
      <w:r>
        <w:rPr>
          <w:color w:val="000000"/>
        </w:rPr>
        <w:t>”</w:t>
      </w:r>
      <w:r>
        <w:rPr>
          <w:rFonts w:ascii="Times New Roman;sans-serif" w:hAnsi="Times New Roman;sans-serif"/>
          <w:b w:val="false"/>
          <w:color w:val="000000"/>
          <w:sz w:val="22"/>
        </w:rPr>
        <w:t>: with respect to any Reinvestment Event, the aggregate Net Cash Proceeds received by any Group Member in connection therewith that are not applied to prepay the Loans or other amounts pursuant to Section 2.12(c) as a result of the delivery of a Reinvestment Notice.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Reinvestment Event</w:t>
      </w:r>
      <w:r>
        <w:rPr>
          <w:color w:val="000000"/>
        </w:rPr>
        <w:t>”</w:t>
      </w:r>
      <w:r>
        <w:rPr>
          <w:rFonts w:ascii="Times New Roman;sans-serif" w:hAnsi="Times New Roman;sans-serif"/>
          <w:b w:val="false"/>
          <w:color w:val="000000"/>
          <w:sz w:val="22"/>
        </w:rPr>
        <w:t>: any Specified Asset Sale or Recovery Event in respect of which the Borrower has delivered a Reinvestment Notice.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Reinvestment Notice</w:t>
      </w:r>
      <w:r>
        <w:rPr>
          <w:color w:val="000000"/>
        </w:rPr>
        <w:t>”</w:t>
      </w:r>
      <w:r>
        <w:rPr>
          <w:rFonts w:ascii="Times New Roman;sans-serif" w:hAnsi="Times New Roman;sans-serif"/>
          <w:b w:val="false"/>
          <w:color w:val="000000"/>
          <w:sz w:val="22"/>
        </w:rPr>
        <w:t>: a written notice executed by a Responsible Officer of the Borrower stating that no Event of Default has occurred and is continuing and that the Group Member intends and expects to use all or a specified portion of the Net Cash Proceeds of a Specified Asset Sale or Recovery Event to acquire or repair Permitted Reinvestment Assets.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Reinvestment Prepayment Amount</w:t>
      </w:r>
      <w:r>
        <w:rPr>
          <w:color w:val="000000"/>
        </w:rPr>
        <w:t>”</w:t>
      </w:r>
      <w:r>
        <w:rPr>
          <w:rFonts w:ascii="Times New Roman;sans-serif" w:hAnsi="Times New Roman;sans-serif"/>
          <w:b w:val="false"/>
          <w:color w:val="000000"/>
          <w:sz w:val="22"/>
        </w:rPr>
        <w:t>: with respect to any Reinvestment Event, the Reinvestment Deferred Amount relating thereto less any amount expended prior to the relevant Reinvestment Prepayment Date to acquire or repair Permitted Reinvestment Assets.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Reinvestment Prepayment Date</w:t>
      </w:r>
      <w:r>
        <w:rPr>
          <w:color w:val="000000"/>
        </w:rPr>
        <w:t>”</w:t>
      </w:r>
      <w:r>
        <w:rPr>
          <w:rFonts w:ascii="Times New Roman;sans-serif" w:hAnsi="Times New Roman;sans-serif"/>
          <w:b w:val="false"/>
          <w:color w:val="000000"/>
          <w:sz w:val="22"/>
        </w:rPr>
        <w:t xml:space="preserve">: with respect to any Reinvestment Event, the earlier of (a) the date occurring 12 months after the date the relevant Group Member received the Net Cash Proceeds from such Reinvestment Event;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such date shall be extended to 18 months if a Group Member has entered into a binding commitment to reinvest the Net Cash Proceeds subject to such Reinvestment Event within such initial 12-month period, and (b) the date that is three (3) Business Days after the Borrower (or its Subsidiaries) shall have determined not to acquire or repair Permitted Reinvestment Assets with all or any portion of the relevant Reinvestment Deferred Amount.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Related Parties</w:t>
      </w:r>
      <w:r>
        <w:rPr>
          <w:color w:val="000000"/>
        </w:rPr>
        <w:t>”</w:t>
      </w:r>
      <w:r>
        <w:rPr>
          <w:rFonts w:ascii="Times New Roman;sans-serif" w:hAnsi="Times New Roman;sans-serif"/>
          <w:b w:val="false"/>
          <w:color w:val="000000"/>
          <w:sz w:val="22"/>
        </w:rPr>
        <w:t>: with respect to any Person, such Person’s Affiliates and the partners, directors, officers, employees, agents, trustees, administrators, managers, advisors and representatives of such Person and of such Person’s Affiliates.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Relevant Governmental Body</w:t>
      </w:r>
      <w:r>
        <w:rPr>
          <w:color w:val="000000"/>
        </w:rPr>
        <w:t>”</w:t>
      </w:r>
      <w:r>
        <w:rPr>
          <w:rFonts w:ascii="Times New Roman;sans-serif" w:hAnsi="Times New Roman;sans-serif"/>
          <w:b w:val="false"/>
          <w:color w:val="000000"/>
          <w:sz w:val="22"/>
        </w:rPr>
        <w:t>: the Federal Reserve Board or the Federal Reserve Bank of New York, or a committee officially endorsed or convened by the Federal Reserve Board and/or the Federal Reserve Bank of New York.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Replacement Lender</w:t>
      </w:r>
      <w:r>
        <w:rPr>
          <w:color w:val="000000"/>
        </w:rPr>
        <w:t>”</w:t>
      </w:r>
      <w:r>
        <w:rPr>
          <w:rFonts w:ascii="Times New Roman;sans-serif" w:hAnsi="Times New Roman;sans-serif"/>
          <w:b w:val="false"/>
          <w:color w:val="000000"/>
          <w:sz w:val="22"/>
        </w:rPr>
        <w:t>: is defined in Section 2.23.</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Required Lenders</w:t>
      </w:r>
      <w:r>
        <w:rPr>
          <w:color w:val="000000"/>
        </w:rPr>
        <w:t>”</w:t>
      </w:r>
      <w:r>
        <w:rPr>
          <w:rFonts w:ascii="Times New Roman;sans-serif" w:hAnsi="Times New Roman;sans-serif"/>
          <w:b w:val="false"/>
          <w:color w:val="000000"/>
          <w:sz w:val="22"/>
        </w:rPr>
        <w:t xml:space="preserve">: at any time, Lenders holding more than 50% of the sum of the outstanding Loans and unfunded outstanding Delayed Draw Commitments at such time;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 xml:space="preserve">that Defaulting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560705"/>
                <wp:effectExtent l="0" t="0" r="0" b="0"/>
                <wp:wrapNone/>
                <wp:docPr id="161" name="Frame16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Lenders shall be disregarded for all purposes of determining Required Lenders under the Loan Documents.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Requirement of Law</w:t>
      </w:r>
      <w:r>
        <w:rPr>
          <w:color w:val="000000"/>
        </w:rPr>
        <w:t>”</w:t>
      </w:r>
      <w:r>
        <w:rPr>
          <w:rFonts w:ascii="Times New Roman;sans-serif" w:hAnsi="Times New Roman;sans-serif"/>
          <w:b w:val="false"/>
          <w:color w:val="000000"/>
          <w:sz w:val="22"/>
        </w:rPr>
        <w:t>: as to any Person, any law, treaty, rule or regulation (including any rule, official directive, request or guideline) of any Governmental Authority or determination of an arbitrator or a court or other Governmental Authority (including the Basel Committee on Banking Supervision and any successor thereto or similar authority or successor thereto), in each case legally binding upon such Person or any of its property or to which such Person or any of its property is subject.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Resolution Authority</w:t>
      </w:r>
      <w:r>
        <w:rPr>
          <w:color w:val="000000"/>
        </w:rPr>
        <w:t>”</w:t>
      </w:r>
      <w:r>
        <w:rPr>
          <w:rFonts w:ascii="Times New Roman;sans-serif" w:hAnsi="Times New Roman;sans-serif"/>
          <w:b w:val="false"/>
          <w:color w:val="000000"/>
          <w:sz w:val="22"/>
        </w:rPr>
        <w:t>: an EEA Resolution Authority or, with respect to any UK Financial Institution, a UK Resolution Authority.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Responsible Officer</w:t>
      </w:r>
      <w:r>
        <w:rPr>
          <w:color w:val="000000"/>
        </w:rPr>
        <w:t>”</w:t>
      </w:r>
      <w:r>
        <w:rPr>
          <w:rFonts w:ascii="Times New Roman;sans-serif" w:hAnsi="Times New Roman;sans-serif"/>
          <w:b w:val="false"/>
          <w:color w:val="000000"/>
          <w:sz w:val="22"/>
        </w:rPr>
        <w:t>: with respect to any Person, the chief executive officer, president, vice president, chief financial officer, treasurer, assistant treasurer, controller, chief accounting officer, general counsel, or other senior or executive officer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Restricted Payments</w:t>
      </w:r>
      <w:r>
        <w:rPr>
          <w:color w:val="000000"/>
        </w:rPr>
        <w:t>”</w:t>
      </w:r>
      <w:r>
        <w:rPr>
          <w:rFonts w:ascii="Times New Roman;sans-serif" w:hAnsi="Times New Roman;sans-serif"/>
          <w:b w:val="false"/>
          <w:color w:val="000000"/>
          <w:sz w:val="22"/>
        </w:rPr>
        <w:t>: is defined in Section 7.6 and do not include, for the avoidance of doubt, amounts paid in-kind with respect to preferred Capital Stock that is not Disqualified Stock (including amounts that when capitalized, become additional Capital Stock).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S&amp;P</w:t>
      </w:r>
      <w:r>
        <w:rPr>
          <w:color w:val="000000"/>
        </w:rPr>
        <w:t>”</w:t>
      </w:r>
      <w:r>
        <w:rPr>
          <w:rFonts w:ascii="Times New Roman;sans-serif" w:hAnsi="Times New Roman;sans-serif"/>
          <w:b w:val="false"/>
          <w:color w:val="000000"/>
          <w:sz w:val="22"/>
        </w:rPr>
        <w:t>: Standard &amp; Poor’s Ratings Services.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Sale Leaseback Transaction</w:t>
      </w:r>
      <w:r>
        <w:rPr>
          <w:color w:val="000000"/>
        </w:rPr>
        <w:t>”</w:t>
      </w:r>
      <w:r>
        <w:rPr>
          <w:rFonts w:ascii="Times New Roman;sans-serif" w:hAnsi="Times New Roman;sans-serif"/>
          <w:b w:val="false"/>
          <w:color w:val="000000"/>
          <w:sz w:val="22"/>
        </w:rPr>
        <w:t>: any arrangement with any Person or Persons, whereby in contemporaneous or substantially contemporaneous transactions a Group Member sells substantially all of its right, title and interest in any property and, in connection therewith, acquires, leases or licenses back the right to use all or a material portion of such property.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Sanctioned Jurisdiction</w:t>
      </w:r>
      <w:r>
        <w:rPr>
          <w:color w:val="000000"/>
        </w:rPr>
        <w:t>”</w:t>
      </w:r>
      <w:r>
        <w:rPr>
          <w:rFonts w:ascii="Times New Roman;sans-serif" w:hAnsi="Times New Roman;sans-serif"/>
          <w:b w:val="false"/>
          <w:color w:val="000000"/>
          <w:sz w:val="22"/>
        </w:rPr>
        <w:t xml:space="preserve">: any country or territory that is the target of comprehensive Sanctions broadly prohibiting dealings in, with or involving such country or territory (as of the date hereof, Cuba, Iran, North Korea, Syria, the so-called Donetsk People’s Republic, the so-called Luhansk People’s Republic, and the Crimea region of Ukraine).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Sanctioned Person</w:t>
      </w:r>
      <w:r>
        <w:rPr>
          <w:color w:val="000000"/>
        </w:rPr>
        <w:t>”</w:t>
      </w:r>
      <w:r>
        <w:rPr>
          <w:rFonts w:ascii="Times New Roman;sans-serif" w:hAnsi="Times New Roman;sans-serif"/>
          <w:b w:val="false"/>
          <w:color w:val="000000"/>
          <w:sz w:val="22"/>
        </w:rPr>
        <w:t>: any Person that is: (a) identified on any Sanctions List; (b) organized, domiciled or ordinarily resident in a Sanctioned Jurisdiction; (c) the government or any governmental authority or instrumentality of a Sanctioned Jurisdiction; or (d) 50% or more owned, individually or in the aggregate, directly or indirectly, or controlled by any such Person or Persons described in the foregoing clauses (a) through (c).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Sanctions</w:t>
      </w:r>
      <w:r>
        <w:rPr>
          <w:color w:val="000000"/>
        </w:rPr>
        <w:t>”</w:t>
      </w:r>
      <w:r>
        <w:rPr>
          <w:rFonts w:ascii="Times New Roman;sans-serif" w:hAnsi="Times New Roman;sans-serif"/>
          <w:b w:val="false"/>
          <w:color w:val="000000"/>
          <w:sz w:val="22"/>
        </w:rPr>
        <w:t>: any and all economic or financial sanctions or trade embargoes imposed, administered or enforced by any Sanctions Authority.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Sanctions Authority</w:t>
      </w:r>
      <w:r>
        <w:rPr>
          <w:color w:val="000000"/>
        </w:rPr>
        <w:t>”</w:t>
      </w:r>
      <w:r>
        <w:rPr>
          <w:rFonts w:ascii="Times New Roman;sans-serif" w:hAnsi="Times New Roman;sans-serif"/>
          <w:b w:val="false"/>
          <w:color w:val="000000"/>
          <w:sz w:val="22"/>
        </w:rPr>
        <w:t>: (a) the U.S. government, including OFAC and the Department of State; (b) the United Kingdom, including His Majesty’s Treasury; (c) the United Nations Security Council; and (d) the European Union and its members states.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Sanctions List</w:t>
      </w:r>
      <w:r>
        <w:rPr>
          <w:color w:val="000000"/>
        </w:rPr>
        <w:t>”</w:t>
      </w:r>
      <w:r>
        <w:rPr>
          <w:rFonts w:ascii="Times New Roman;sans-serif" w:hAnsi="Times New Roman;sans-serif"/>
          <w:b w:val="false"/>
          <w:color w:val="000000"/>
          <w:sz w:val="22"/>
        </w:rPr>
        <w:t xml:space="preserve">: any Sanctions-related list of designated or blocked Persons maintained by any Sanctions Authority, including but not limited to: (a) the Specially Designated Nationals and Blocked Persons List, the Foreign Sanctions Evaders List and the Sectoral Sanctions Identifications List, each maintained by OFAC; (b) the Consolidated List of Financial Sanctions Targets maintained by His Majesty’s Treasury of the United Kingdom; (c) the consolidated list of persons, groups and entities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560705"/>
                <wp:effectExtent l="0" t="0" r="0" b="0"/>
                <wp:wrapNone/>
                <wp:docPr id="162" name="Frame16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subject to EU financial sanctions maintained by the European Union; and (d) the United Nations Security Council Consolidated List.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SEC</w:t>
      </w:r>
      <w:r>
        <w:rPr>
          <w:color w:val="000000"/>
        </w:rPr>
        <w:t>”</w:t>
      </w:r>
      <w:r>
        <w:rPr>
          <w:rFonts w:ascii="Times New Roman;sans-serif" w:hAnsi="Times New Roman;sans-serif"/>
          <w:b w:val="false"/>
          <w:color w:val="000000"/>
          <w:sz w:val="22"/>
        </w:rPr>
        <w:t>: the Securities and Exchange Commission, any successor thereto and any analogous Governmental Authority.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Secured Parties</w:t>
      </w:r>
      <w:r>
        <w:rPr>
          <w:color w:val="000000"/>
        </w:rPr>
        <w:t>”</w:t>
      </w:r>
      <w:r>
        <w:rPr>
          <w:rFonts w:ascii="Times New Roman;sans-serif" w:hAnsi="Times New Roman;sans-serif"/>
          <w:b w:val="false"/>
          <w:color w:val="000000"/>
          <w:sz w:val="22"/>
        </w:rPr>
        <w:t xml:space="preserve">: the collective reference to any holder of the Obligations, including the Administrative Agent and the Lenders.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Securities Account</w:t>
      </w:r>
      <w:r>
        <w:rPr>
          <w:color w:val="000000"/>
        </w:rPr>
        <w:t>”</w:t>
      </w:r>
      <w:r>
        <w:rPr>
          <w:rFonts w:ascii="Times New Roman;sans-serif" w:hAnsi="Times New Roman;sans-serif"/>
          <w:b w:val="false"/>
          <w:color w:val="000000"/>
          <w:sz w:val="22"/>
        </w:rPr>
        <w:t>: any “securities account” as defined in the UCC with such additions to such term as may hereafter be made.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Securities Act</w:t>
      </w:r>
      <w:r>
        <w:rPr>
          <w:color w:val="000000"/>
        </w:rPr>
        <w:t>”</w:t>
      </w:r>
      <w:r>
        <w:rPr>
          <w:rFonts w:ascii="Times New Roman;sans-serif" w:hAnsi="Times New Roman;sans-serif"/>
          <w:b w:val="false"/>
          <w:color w:val="000000"/>
          <w:sz w:val="22"/>
        </w:rPr>
        <w:t>: the Securities Act of 1933, as amended from time to time and any successor statute.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Security Documents</w:t>
      </w:r>
      <w:r>
        <w:rPr>
          <w:color w:val="000000"/>
        </w:rPr>
        <w:t>”</w:t>
      </w:r>
      <w:r>
        <w:rPr>
          <w:rFonts w:ascii="Times New Roman;sans-serif" w:hAnsi="Times New Roman;sans-serif"/>
          <w:b w:val="false"/>
          <w:color w:val="000000"/>
          <w:sz w:val="22"/>
        </w:rPr>
        <w:t>: the collective reference to, the Guarantee and Collateral Agreement, each Joinder Agreement (as defined in the Guarantee and Collateral Agreement), the Mortgages, each Intellectual Property Security Agreement, each Foreign Security Document, other security agreements, pledge agreements or other similar agreements delivered to the Administrative Agent and the Lenders pursuant to Section 6.11 or 6.12, and all other security documents hereafter delivered to the Administrative Agent granting a Lien on any property of any Person to secure the Obligations of any Loan Party arising under any Loan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Silver Point</w:t>
      </w:r>
      <w:r>
        <w:rPr>
          <w:color w:val="000000"/>
        </w:rPr>
        <w:t>”</w:t>
      </w:r>
      <w:r>
        <w:rPr>
          <w:rFonts w:ascii="Times New Roman;sans-serif" w:hAnsi="Times New Roman;sans-serif"/>
          <w:b w:val="false"/>
          <w:color w:val="000000"/>
          <w:sz w:val="22"/>
        </w:rPr>
        <w:t>: is defined in the preamble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Shared Cap</w:t>
      </w:r>
      <w:r>
        <w:rPr>
          <w:color w:val="000000"/>
        </w:rPr>
        <w:t>”</w:t>
      </w:r>
      <w:r>
        <w:rPr>
          <w:rFonts w:ascii="Times New Roman;sans-serif" w:hAnsi="Times New Roman;sans-serif"/>
          <w:b w:val="false"/>
          <w:color w:val="000000"/>
          <w:sz w:val="22"/>
        </w:rPr>
        <w:t>: with respect to any period, an amount equal to 25% of Consolidated Adjusted EBITDA for such period (calculated before giving effect to any such add-backs or adjustments set forth in clauses (v), (xi), (xiii), (xvii) and (xix) of clause (a) of the definition of Consolidated Adjusted EBITDA).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SOFR</w:t>
      </w:r>
      <w:r>
        <w:rPr>
          <w:color w:val="000000"/>
        </w:rPr>
        <w:t>”</w:t>
      </w:r>
      <w:r>
        <w:rPr>
          <w:rFonts w:ascii="Times New Roman;sans-serif" w:hAnsi="Times New Roman;sans-serif"/>
          <w:b w:val="false"/>
          <w:color w:val="000000"/>
          <w:sz w:val="22"/>
        </w:rPr>
        <w:t>: a rate equal to the secured overnight financing rate as published by the SOFR Administrator on the website of the SOFR Administrator, currently at http//www.newyorkfed.org (or any successor source for the secured overnight financing rate identified as such by the SOFR Administrator from time to time).</w:t>
      </w:r>
    </w:p>
    <w:p>
      <w:pPr>
        <w:pStyle w:val="TextBody"/>
        <w:bidi w:val="0"/>
        <w:spacing w:lineRule="auto" w:line="288" w:before="0" w:after="240"/>
        <w:ind w:left="0" w:right="0" w:firstLine="720"/>
        <w:jc w:val="both"/>
        <w:rPr/>
      </w:pPr>
      <w:r>
        <w:rPr>
          <w:color w:val="231F20"/>
        </w:rPr>
        <w:t>“</w:t>
      </w:r>
      <w:r>
        <w:rPr>
          <w:rFonts w:ascii="Times New Roman;sans-serif" w:hAnsi="Times New Roman;sans-serif"/>
          <w:b/>
          <w:i/>
          <w:color w:val="231F20"/>
          <w:sz w:val="22"/>
        </w:rPr>
        <w:t>SOFR Administrator</w:t>
      </w:r>
      <w:r>
        <w:rPr>
          <w:color w:val="231F20"/>
        </w:rPr>
        <w:t>”</w:t>
      </w:r>
      <w:r>
        <w:rPr>
          <w:rFonts w:ascii="Times New Roman;sans-serif" w:hAnsi="Times New Roman;sans-serif"/>
          <w:b w:val="false"/>
          <w:color w:val="231F20"/>
          <w:sz w:val="22"/>
        </w:rPr>
        <w:t xml:space="preserve">: </w:t>
      </w:r>
      <w:r>
        <w:rPr>
          <w:rFonts w:ascii="Times New Roman;sans-serif" w:hAnsi="Times New Roman;sans-serif"/>
          <w:b w:val="false"/>
          <w:color w:val="000000"/>
          <w:sz w:val="22"/>
        </w:rPr>
        <w:t>the Federal Reserve Bank of New York (or a successor administrator of the secured overnight financing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SOFR Loan</w:t>
      </w:r>
      <w:r>
        <w:rPr>
          <w:color w:val="000000"/>
        </w:rPr>
        <w:t>”</w:t>
      </w:r>
      <w:r>
        <w:rPr>
          <w:rFonts w:ascii="Times New Roman;sans-serif" w:hAnsi="Times New Roman;sans-serif"/>
          <w:b w:val="false"/>
          <w:color w:val="000000"/>
          <w:sz w:val="22"/>
        </w:rPr>
        <w:t>: a Loan that bears interest at a rate based on Term SOFR.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SOFR Tranche</w:t>
      </w:r>
      <w:r>
        <w:rPr>
          <w:color w:val="000000"/>
        </w:rPr>
        <w:t>”</w:t>
      </w:r>
      <w:r>
        <w:rPr>
          <w:rFonts w:ascii="Times New Roman;sans-serif" w:hAnsi="Times New Roman;sans-serif"/>
          <w:b w:val="false"/>
          <w:color w:val="000000"/>
          <w:sz w:val="22"/>
        </w:rPr>
        <w:t>: the collective reference to SOFR Loans under a particular Facility, the then current Interest Periods with respect to all of which begin on the same date and end on the same later date (whether or not such Loans shall originally have been made on the same day).</w:t>
      </w:r>
    </w:p>
    <w:p>
      <w:pPr>
        <w:pStyle w:val="TextBody"/>
        <w:bidi w:val="0"/>
        <w:spacing w:lineRule="auto" w:line="312" w:before="0" w:after="240"/>
        <w:ind w:left="0" w:right="0" w:firstLine="720"/>
        <w:jc w:val="both"/>
        <w:rPr/>
      </w:pPr>
      <w:r>
        <w:rPr>
          <w:color w:val="000000"/>
        </w:rPr>
        <w:t>“</w:t>
      </w:r>
      <w:r>
        <w:rPr>
          <w:rFonts w:ascii="Times New Roman;sans-serif" w:hAnsi="Times New Roman;sans-serif"/>
          <w:b/>
          <w:i/>
          <w:color w:val="000000"/>
          <w:sz w:val="22"/>
        </w:rPr>
        <w:t>Sold Entity or Business</w:t>
      </w:r>
      <w:r>
        <w:rPr>
          <w:color w:val="000000"/>
        </w:rPr>
        <w:t>”</w:t>
      </w:r>
      <w:r>
        <w:rPr>
          <w:rFonts w:ascii="Times New Roman;sans-serif" w:hAnsi="Times New Roman;sans-serif"/>
          <w:b w:val="false"/>
          <w:color w:val="000000"/>
          <w:sz w:val="22"/>
        </w:rPr>
        <w:t>: for any period, any Person, property, business or asset sold, transferred or otherwise disposed of, closed or classified as discontinued operations by the Borrower or any Subsidiary during such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Solvency Certificate</w:t>
      </w:r>
      <w:r>
        <w:rPr>
          <w:color w:val="000000"/>
        </w:rPr>
        <w:t>”</w:t>
      </w:r>
      <w:r>
        <w:rPr>
          <w:rFonts w:ascii="Times New Roman;sans-serif" w:hAnsi="Times New Roman;sans-serif"/>
          <w:b w:val="false"/>
          <w:color w:val="000000"/>
          <w:sz w:val="22"/>
        </w:rPr>
        <w:t>: the Solvency Certificate, dated the Closing Date, delivered to the Administrative Agent pursuant to Section 5.1(o), which Solvency Certificate shall be in substantially the form of Exhibit D.</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560705"/>
                <wp:effectExtent l="0" t="0" r="0" b="0"/>
                <wp:wrapNone/>
                <wp:docPr id="163" name="Frame16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Solvent</w:t>
      </w:r>
      <w:r>
        <w:rPr>
          <w:color w:val="000000"/>
        </w:rPr>
        <w:t>”</w:t>
      </w:r>
      <w:r>
        <w:rPr>
          <w:rFonts w:ascii="Times New Roman;sans-serif" w:hAnsi="Times New Roman;sans-serif"/>
          <w:b w:val="false"/>
          <w:color w:val="000000"/>
          <w:sz w:val="22"/>
        </w:rPr>
        <w:t>: when used with respect to any Person, as of any date of determination, (a) the fair value of the assets of such Person and its Subsidiaries, on a consolidated basis, exceeds their debts and liabilities, direct, subordinated, contingent or otherwise, on a consolidated basis; (b) the present fair saleable value of the property of such Person and its Subsidiaries, on a consolidated basis, is greater than the amount that will be required to pay the probable liability, on a consolidated basis, of their debts and other liabilities, direct, subordinated, contingent or otherwise, on a consolidated basis, as such debts and other liabilities become absolute and matured; (c) such Person and its Subsidiaries, on a consolidated basis, are able to pay their debts and liabilities, direct, subordinated, contingent or otherwise, on a consolidated basis, as such liabilities become absolute and matured; and (d) such Person and its Subsidiaries, on a consolidated basis, are not engaged in, and are not about to engage in, business for which they have unreasonably small capital.</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definition, the amount of any contingent liability at any time will be computed as the amount that would reasonably be expected to become an actual and matured liability.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Specified Acquisition</w:t>
      </w:r>
      <w:r>
        <w:rPr>
          <w:color w:val="000000"/>
        </w:rPr>
        <w:t>”</w:t>
      </w:r>
      <w:r>
        <w:rPr>
          <w:rFonts w:ascii="Times New Roman;sans-serif" w:hAnsi="Times New Roman;sans-serif"/>
          <w:b w:val="false"/>
          <w:color w:val="000000"/>
          <w:sz w:val="22"/>
        </w:rPr>
        <w:t>: the “Project Lighthouse” acquisition identified to the Administrative Agent by the Borrower prior to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Specified Acquisition Earnout</w:t>
      </w:r>
      <w:r>
        <w:rPr>
          <w:color w:val="000000"/>
        </w:rPr>
        <w:t>”</w:t>
      </w:r>
      <w:r>
        <w:rPr>
          <w:rFonts w:ascii="Times New Roman;sans-serif" w:hAnsi="Times New Roman;sans-serif"/>
          <w:b w:val="false"/>
          <w:color w:val="000000"/>
          <w:sz w:val="22"/>
        </w:rPr>
        <w:t>: any Deferred Payment Obligations in connection with the Specified Acquisition (it being understood that the aggregate amount of the Specified Acquisition Earnout, assuming all contingent events are satisfied, shall not exceed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Specified</w:t>
      </w:r>
      <w:r>
        <w:rPr>
          <w:color w:val="000000"/>
        </w:rPr>
        <w:t xml:space="preserve"> </w:t>
      </w:r>
      <w:r>
        <w:rPr>
          <w:rFonts w:ascii="Times New Roman;sans-serif" w:hAnsi="Times New Roman;sans-serif"/>
          <w:b/>
          <w:i/>
          <w:color w:val="000000"/>
          <w:sz w:val="22"/>
        </w:rPr>
        <w:t>Asset Sale</w:t>
      </w:r>
      <w:r>
        <w:rPr>
          <w:color w:val="000000"/>
        </w:rPr>
        <w:t>”</w:t>
      </w:r>
      <w:r>
        <w:rPr>
          <w:rFonts w:ascii="Times New Roman;sans-serif" w:hAnsi="Times New Roman;sans-serif"/>
          <w:b w:val="false"/>
          <w:color w:val="000000"/>
          <w:sz w:val="22"/>
        </w:rPr>
        <w:t>: any Disposition of property or series of related Dispositions of property made pursuant to clause (r) of Section 7.5.</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Specified Representations</w:t>
      </w:r>
      <w:r>
        <w:rPr>
          <w:color w:val="000000"/>
        </w:rPr>
        <w:t xml:space="preserve">” </w:t>
      </w:r>
      <w:r>
        <w:rPr>
          <w:rFonts w:ascii="Times New Roman;sans-serif" w:hAnsi="Times New Roman;sans-serif"/>
          <w:b w:val="false"/>
          <w:color w:val="000000"/>
          <w:sz w:val="22"/>
        </w:rPr>
        <w:t>means the representations and warranties made by the Loan Parties in Section 4.3(a) (as to organizational existence), Section 4.4(a), Section 4.4(b), Section 4.4(d), Section 4.4(e), Section 4.5 (with respect to Operating Documents relating to due authorization of, execution of, delivery of and performance of the Loan Documents), Section 4.11, Section 4.14, Section 4.19(a) (subject to Liens permitted by Section 7.3), Section 4.20 (with respect to the Closing Date, immediately after giving effect to the Closing Date Transactions occurring on the Closing Date), and Section 4.28.</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Subordinated Indebtedness</w:t>
      </w:r>
      <w:r>
        <w:rPr>
          <w:color w:val="000000"/>
        </w:rPr>
        <w:t>”</w:t>
      </w:r>
      <w:r>
        <w:rPr>
          <w:rFonts w:ascii="Times New Roman;sans-serif" w:hAnsi="Times New Roman;sans-serif"/>
          <w:b w:val="false"/>
          <w:color w:val="000000"/>
          <w:sz w:val="22"/>
        </w:rPr>
        <w:t>: Indebtedness of a Loan Party subordinated to the Obligations (or secured by Liens subordinated to the Liens securing the Obligations) pursuant to subordination terms (including payment, lien and remedies subordination terms, as applicable) reasonably acceptable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Subsidiary</w:t>
      </w:r>
      <w:r>
        <w:rPr>
          <w:color w:val="000000"/>
        </w:rPr>
        <w:t>”</w:t>
      </w:r>
      <w:r>
        <w:rPr>
          <w:rFonts w:ascii="Times New Roman;sans-serif" w:hAnsi="Times New Roman;sans-serif"/>
          <w:b w:val="false"/>
          <w:color w:val="000000"/>
          <w:sz w:val="22"/>
        </w:rPr>
        <w:t>: as to any Person, a corporation, company, partnership, limited liability company or other entity of which shares,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w:t>
      </w:r>
      <w:r>
        <w:rPr>
          <w:rFonts w:ascii="Times New Roman;sans-serif" w:hAnsi="Times New Roman;sans-serif"/>
          <w:b/>
          <w:i/>
          <w:color w:val="000000"/>
          <w:sz w:val="22"/>
        </w:rPr>
        <w:t>Subsidiary</w:t>
      </w:r>
      <w:r>
        <w:rPr>
          <w:color w:val="000000"/>
        </w:rPr>
        <w:t xml:space="preserve">” </w:t>
      </w:r>
      <w:r>
        <w:rPr>
          <w:rFonts w:ascii="Times New Roman;sans-serif" w:hAnsi="Times New Roman;sans-serif"/>
          <w:b w:val="false"/>
          <w:color w:val="000000"/>
          <w:sz w:val="22"/>
        </w:rPr>
        <w:t>or to “</w:t>
      </w:r>
      <w:r>
        <w:rPr>
          <w:rFonts w:ascii="Times New Roman;sans-serif" w:hAnsi="Times New Roman;sans-serif"/>
          <w:b/>
          <w:i/>
          <w:color w:val="000000"/>
          <w:sz w:val="22"/>
        </w:rPr>
        <w:t>Subsidiaries</w:t>
      </w:r>
      <w:r>
        <w:rPr>
          <w:color w:val="000000"/>
        </w:rPr>
        <w:t xml:space="preserve">” </w:t>
      </w:r>
      <w:r>
        <w:rPr>
          <w:rFonts w:ascii="Times New Roman;sans-serif" w:hAnsi="Times New Roman;sans-serif"/>
          <w:b w:val="false"/>
          <w:color w:val="000000"/>
          <w:sz w:val="22"/>
        </w:rPr>
        <w:t>in this Agreement shall refer to a Subsidiary or Subsidiaries of the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Surety Indebtedness</w:t>
      </w:r>
      <w:r>
        <w:rPr>
          <w:color w:val="000000"/>
        </w:rPr>
        <w:t>”</w:t>
      </w:r>
      <w:r>
        <w:rPr>
          <w:rFonts w:ascii="Times New Roman;sans-serif" w:hAnsi="Times New Roman;sans-serif"/>
          <w:b w:val="false"/>
          <w:color w:val="000000"/>
          <w:sz w:val="22"/>
        </w:rPr>
        <w:t>: as of any date of determination, indebtedness (contingent or otherwise) owing to sureties arising from surety bonds issued on behalf of any Loan Party or its respective Subsidiaries as support for, among other things, their contracts with customers, whether such indebtedness is owing directly or indirectly by such Loan Party or any such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560705"/>
                <wp:effectExtent l="0" t="0" r="0" b="0"/>
                <wp:wrapNone/>
                <wp:docPr id="164" name="Frame16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Swap Agreement</w:t>
      </w:r>
      <w:r>
        <w:rPr>
          <w:color w:val="000000"/>
        </w:rPr>
        <w:t>”</w:t>
      </w:r>
      <w:r>
        <w:rPr>
          <w:rFonts w:ascii="Times New Roman;sans-serif" w:hAnsi="Times New Roman;sans-serif"/>
          <w:b w:val="false"/>
          <w:color w:val="000000"/>
          <w:sz w:val="22"/>
        </w:rPr>
        <w:t xml:space="preserve">: any agreement with respect to any swap, hedge, forward, future or derivative transaction or option or similar agreement (including any Interest Rate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no phantom stock or similar plan providing for payments only on account of services provided by current or former directors, officers, employees or consultants of a Loan Party and its Subsidiaries shall be deemed to be a “Swap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Swap Obligation</w:t>
      </w:r>
      <w:r>
        <w:rPr>
          <w:color w:val="000000"/>
        </w:rPr>
        <w:t>”</w:t>
      </w:r>
      <w:r>
        <w:rPr>
          <w:rFonts w:ascii="Times New Roman;sans-serif" w:hAnsi="Times New Roman;sans-serif"/>
          <w:b w:val="false"/>
          <w:color w:val="000000"/>
          <w:sz w:val="22"/>
        </w:rPr>
        <w:t>: with respect to any Guarantor, any obligation of such Guarantor to pay or perform under any agreement, contract or transaction that constitutes a “swap” within the meaning of Section 1a(47) of the Commodity Exchange 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Swap Termination Value</w:t>
      </w:r>
      <w:r>
        <w:rPr>
          <w:color w:val="000000"/>
        </w:rPr>
        <w:t>”</w:t>
      </w:r>
      <w:r>
        <w:rPr>
          <w:rFonts w:ascii="Times New Roman;sans-serif" w:hAnsi="Times New Roman;sans-serif"/>
          <w:b w:val="false"/>
          <w:color w:val="000000"/>
          <w:sz w:val="22"/>
        </w:rPr>
        <w:t>: in respect of any one or more Swap Agreements, after taking into account the effect of any legally enforceable netting agreement relating to such Swap Agreements, (a) for any date on or after the date any such Swap Agreement has been closed out and termination value determined in accordance therewith, such termination value, and (b) for any date prior to the date referenced in clause (a), the amount determined as the mark-to-market value for such Swap Agreement, as determined based upon one or more mid-market or other readily available quotations provided by any recognized dealer in such Swap Agreements.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Synthetic Lease Obligation</w:t>
      </w:r>
      <w:r>
        <w:rPr>
          <w:color w:val="000000"/>
        </w:rPr>
        <w:t>”</w:t>
      </w:r>
      <w:r>
        <w:rPr>
          <w:rFonts w:ascii="Times New Roman;sans-serif" w:hAnsi="Times New Roman;sans-serif"/>
          <w:b w:val="false"/>
          <w:color w:val="000000"/>
          <w:sz w:val="22"/>
        </w:rPr>
        <w:t>: the monetary obligation of a Person under (a) a so-called synthetic, off-balance sheet or tax retention lease or (b) an agreement for the use of property creating obligations that do not appear on the balance sheet of such Person but which, upon the insolvency or bankruptcy of such Person, would be characterized as the indebtedness of such Person (without regard to accounting treatment).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Taxes</w:t>
      </w:r>
      <w:r>
        <w:rPr>
          <w:color w:val="000000"/>
        </w:rPr>
        <w:t>”</w:t>
      </w:r>
      <w:r>
        <w:rPr>
          <w:rFonts w:ascii="Times New Roman;sans-serif" w:hAnsi="Times New Roman;sans-serif"/>
          <w:b w:val="false"/>
          <w:color w:val="000000"/>
          <w:sz w:val="22"/>
        </w:rPr>
        <w:t>: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Term Loan</w:t>
      </w:r>
      <w:r>
        <w:rPr>
          <w:color w:val="000000"/>
        </w:rPr>
        <w:t>”</w:t>
      </w:r>
      <w:r>
        <w:rPr>
          <w:rFonts w:ascii="Times New Roman;sans-serif" w:hAnsi="Times New Roman;sans-serif"/>
          <w:b w:val="false"/>
          <w:color w:val="000000"/>
          <w:sz w:val="22"/>
        </w:rPr>
        <w:t>: any loan made or maintained by any Lender pursuant to this Agreement in the form of an Initial Loan or Delayed Draw Loan.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Term Percentage</w:t>
      </w:r>
      <w:r>
        <w:rPr>
          <w:color w:val="000000"/>
        </w:rPr>
        <w:t>”</w:t>
      </w:r>
      <w:r>
        <w:rPr>
          <w:rFonts w:ascii="Times New Roman;sans-serif" w:hAnsi="Times New Roman;sans-serif"/>
          <w:b w:val="false"/>
          <w:color w:val="000000"/>
          <w:sz w:val="22"/>
        </w:rPr>
        <w:t>: as to any Lender at any time, the percentage which such Lender’s Commitments and funded Loans then constitutes of the aggregate Commitments and funded Loans of all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Term SOFR</w:t>
      </w:r>
      <w:r>
        <w:rPr>
          <w:color w:val="000000"/>
        </w:rPr>
        <w:t>”</w:t>
      </w:r>
      <w:r>
        <w:rPr>
          <w:rFonts w:ascii="Times New Roman;sans-serif" w:hAnsi="Times New Roman;sans-serif"/>
          <w:b w:val="false"/>
          <w:color w:val="000000"/>
          <w:sz w:val="22"/>
        </w:rPr>
        <w:t xml:space="preserve">: rate </w:t>
      </w:r>
      <w:r>
        <w:rPr>
          <w:rFonts w:ascii="Times New Roman;sans-serif" w:hAnsi="Times New Roman;sans-serif"/>
          <w:b w:val="false"/>
          <w:i/>
          <w:color w:val="000000"/>
          <w:sz w:val="22"/>
        </w:rPr>
        <w:t>per annum</w:t>
      </w:r>
      <w:r>
        <w:rPr>
          <w:color w:val="000000"/>
        </w:rPr>
        <w:t xml:space="preserve"> </w:t>
      </w:r>
      <w:r>
        <w:rPr>
          <w:rFonts w:ascii="Times New Roman;sans-serif" w:hAnsi="Times New Roman;sans-serif"/>
          <w:b w:val="false"/>
          <w:color w:val="000000"/>
          <w:sz w:val="22"/>
        </w:rPr>
        <w:t>equal to the Term SOFR Reference Rate for a tenor comparable to the applicable Interest Period on the day (such day, the “</w:t>
      </w:r>
      <w:r>
        <w:rPr>
          <w:rFonts w:ascii="Times New Roman;sans-serif" w:hAnsi="Times New Roman;sans-serif"/>
          <w:b/>
          <w:i/>
          <w:color w:val="000000"/>
          <w:sz w:val="22"/>
        </w:rPr>
        <w:t>Term SOFR Determination Day</w:t>
      </w:r>
      <w:r>
        <w:rPr>
          <w:color w:val="000000"/>
        </w:rPr>
        <w:t>”</w:t>
      </w:r>
      <w:r>
        <w:rPr>
          <w:rFonts w:ascii="Times New Roman;sans-serif" w:hAnsi="Times New Roman;sans-serif"/>
          <w:b w:val="false"/>
          <w:color w:val="000000"/>
          <w:sz w:val="22"/>
        </w:rPr>
        <w:t xml:space="preserve">) that is two (2) U.S. Government Securities Business Days prior to the first day of such Interest Period;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Term SOFR Determination Day;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further</w:t>
      </w:r>
      <w:r>
        <w:rPr>
          <w:rFonts w:ascii="Times New Roman;sans-serif" w:hAnsi="Times New Roman;sans-serif"/>
          <w:b w:val="false"/>
          <w:color w:val="000000"/>
          <w:sz w:val="22"/>
        </w:rPr>
        <w:t xml:space="preserve">, that if Term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60705"/>
                <wp:effectExtent l="0" t="0" r="0" b="0"/>
                <wp:wrapNone/>
                <wp:docPr id="165" name="Frame16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SOFR would be less than the Floor, then solely with respect to the Initial Loans and the Delayed Draw Loans, Term SOFR will be deemed to be the Floor for purposes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Term SOFR Administrator</w:t>
      </w:r>
      <w:r>
        <w:rPr>
          <w:color w:val="000000"/>
        </w:rPr>
        <w:t>”</w:t>
      </w:r>
      <w:r>
        <w:rPr>
          <w:rFonts w:ascii="Times New Roman;sans-serif" w:hAnsi="Times New Roman;sans-serif"/>
          <w:b w:val="false"/>
          <w:color w:val="000000"/>
          <w:sz w:val="22"/>
        </w:rPr>
        <w:t>: CME Group Benchmark Administration Limited (CME) (or a successor administrator of the Term SOFR Reference Rate selected by the Administrative Agent in its reasonable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Term SOFR Determination Day</w:t>
      </w:r>
      <w:r>
        <w:rPr>
          <w:color w:val="000000"/>
        </w:rPr>
        <w:t xml:space="preserve">” </w:t>
      </w:r>
      <w:r>
        <w:rPr>
          <w:rFonts w:ascii="Times New Roman;sans-serif" w:hAnsi="Times New Roman;sans-serif"/>
          <w:b w:val="false"/>
          <w:color w:val="000000"/>
          <w:sz w:val="22"/>
        </w:rPr>
        <w:t>has the meaning specified in the definition of “Term SOFR”.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Term SOFR Reference Rate</w:t>
      </w:r>
      <w:r>
        <w:rPr>
          <w:color w:val="000000"/>
        </w:rPr>
        <w:t>”</w:t>
      </w:r>
      <w:r>
        <w:rPr>
          <w:rFonts w:ascii="Times New Roman;sans-serif" w:hAnsi="Times New Roman;sans-serif"/>
          <w:b w:val="false"/>
          <w:color w:val="000000"/>
          <w:sz w:val="22"/>
        </w:rPr>
        <w:t>: the forward-looking term rate based on SOFR published by the Term SOFR Administrator and displayed on CME’s Market Data Platform (or other commercially available source providing such quotations as may be selected by the Administrative Agent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Test Period</w:t>
      </w:r>
      <w:r>
        <w:rPr>
          <w:color w:val="000000"/>
        </w:rPr>
        <w:t>”</w:t>
      </w:r>
      <w:r>
        <w:rPr>
          <w:rFonts w:ascii="Times New Roman;sans-serif" w:hAnsi="Times New Roman;sans-serif"/>
          <w:b w:val="false"/>
          <w:color w:val="000000"/>
          <w:sz w:val="22"/>
        </w:rPr>
        <w:t xml:space="preserve">: (a) with respect to Consolidated Adjusted EBITDA based metrics, at any date of determination, the most recently completed four consecutive fiscal quarters of the Borrower ending on or prior to such date for which financial statements have been or are required to be delivered pursuant to Section 6.1(a) or 6.1(c) for the last quarter in such period;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prior to the first date that financial statements have been or are required to be delivered pursuant to Section 6.1(a) or (c), the Test Period in effect shall be the period of four consecutive fiscal quarters of the Borrower ended March 31, 2024 and (b) with respect to any Recurring Revenues based metrics, at any date of determination, the most recently completed fiscal quarter of the Borrower ending on or prior to such date for which financial statements have been or are required to be delivered pursuant to Section 6.1(a) or (c);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prior to the first date that financial statements have been or are required to be delivered pursuant to Section 6.1(a) or (c), the Test Period in effect shall be the fiscal quarter of the Borrower ended March 31, 2024.</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Total Credit Exposure</w:t>
      </w:r>
      <w:r>
        <w:rPr>
          <w:color w:val="000000"/>
        </w:rPr>
        <w:t>”</w:t>
      </w:r>
      <w:r>
        <w:rPr>
          <w:rFonts w:ascii="Times New Roman;sans-serif" w:hAnsi="Times New Roman;sans-serif"/>
          <w:b w:val="false"/>
          <w:color w:val="000000"/>
          <w:sz w:val="22"/>
        </w:rPr>
        <w:t>: as to any Lender at any time, the unused Commitments and outstanding Loans of such Lender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Trade Date</w:t>
      </w:r>
      <w:r>
        <w:rPr>
          <w:color w:val="000000"/>
        </w:rPr>
        <w:t>”</w:t>
      </w:r>
      <w:r>
        <w:rPr>
          <w:rFonts w:ascii="Times New Roman;sans-serif" w:hAnsi="Times New Roman;sans-serif"/>
          <w:b w:val="false"/>
          <w:color w:val="000000"/>
          <w:sz w:val="22"/>
        </w:rPr>
        <w:t>: is defined in Section 10.6(b)(i)(B).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Tranche</w:t>
      </w:r>
      <w:r>
        <w:rPr>
          <w:color w:val="000000"/>
        </w:rPr>
        <w:t>”</w:t>
      </w:r>
      <w:r>
        <w:rPr>
          <w:rFonts w:ascii="Times New Roman;sans-serif" w:hAnsi="Times New Roman;sans-serif"/>
          <w:b w:val="false"/>
          <w:color w:val="000000"/>
          <w:sz w:val="22"/>
        </w:rPr>
        <w:t xml:space="preserve">: the respective facilities and commitments utilized in making Loans hereunder. Additional Tranches may be added after the Closing Date pursuant to the terms hereof, e.g., new Incremental Loans, Refinancing Loans and Extended Loans. As of the Closing Date, there are three Tranches (one consisting of Initial Term Loans, one consisting of Delayed Draw A Commitments and one consisting of Delayed Draw B Commitments).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Treasury Rate</w:t>
      </w:r>
      <w:r>
        <w:rPr>
          <w:color w:val="000000"/>
        </w:rPr>
        <w:t>”</w:t>
      </w:r>
      <w:r>
        <w:rPr>
          <w:rFonts w:ascii="Times New Roman;sans-serif" w:hAnsi="Times New Roman;sans-serif"/>
          <w:b w:val="false"/>
          <w:color w:val="000000"/>
          <w:sz w:val="22"/>
        </w:rPr>
        <w:t xml:space="preserve">: (subject to a 0% floor) the weekly average yield to maturity on actually traded United States Treasury securities as of the date of the relevant notice of repayment, prepayment or acceleration of Loans adjusted to a constant maturity of one year (as compiled and published in the most recent Federal Reserve Statistical Release H.15 (or is obtainable from the Federal Reserve System’s Data Download Program as of the date of such H.15) that has become publicly available at least two (2) Business Days prior to such date (or, if such Statistical Release is no longer published, any publicly available source of similar market data)).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Type</w:t>
      </w:r>
      <w:r>
        <w:rPr>
          <w:color w:val="000000"/>
        </w:rPr>
        <w:t>”</w:t>
      </w:r>
      <w:r>
        <w:rPr>
          <w:rFonts w:ascii="Times New Roman;sans-serif" w:hAnsi="Times New Roman;sans-serif"/>
          <w:b w:val="false"/>
          <w:color w:val="000000"/>
          <w:sz w:val="22"/>
        </w:rPr>
        <w:t>: as to any Loan, its nature as an ABR Loan or a SOFR Loan.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UK Financial Institution</w:t>
      </w:r>
      <w:r>
        <w:rPr>
          <w:color w:val="000000"/>
        </w:rPr>
        <w:t>”</w:t>
      </w:r>
      <w:r>
        <w:rPr>
          <w:rFonts w:ascii="Times New Roman;sans-serif" w:hAnsi="Times New Roman;sans-serif"/>
          <w:b w:val="false"/>
          <w:color w:val="000000"/>
          <w:sz w:val="22"/>
        </w:rPr>
        <w:t xml:space="preserve">: any BRRD Undertaking (as such term is defined under the PRA Rulebook (as amended form time to time) promulgated by the United Kingdom Prudential Regulation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560705"/>
                <wp:effectExtent l="0" t="0" r="0" b="0"/>
                <wp:wrapNone/>
                <wp:docPr id="166" name="Frame16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UK Resolution Authority</w:t>
      </w:r>
      <w:r>
        <w:rPr>
          <w:color w:val="000000"/>
        </w:rPr>
        <w:t>”</w:t>
      </w:r>
      <w:r>
        <w:rPr>
          <w:rFonts w:ascii="Times New Roman;sans-serif" w:hAnsi="Times New Roman;sans-serif"/>
          <w:b w:val="false"/>
          <w:color w:val="000000"/>
          <w:sz w:val="22"/>
        </w:rPr>
        <w:t>: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Unadjusted Benchmark Replacement</w:t>
      </w:r>
      <w:r>
        <w:rPr>
          <w:color w:val="000000"/>
        </w:rPr>
        <w:t>”</w:t>
      </w:r>
      <w:r>
        <w:rPr>
          <w:rFonts w:ascii="Times New Roman;sans-serif" w:hAnsi="Times New Roman;sans-serif"/>
          <w:b w:val="false"/>
          <w:color w:val="000000"/>
          <w:sz w:val="22"/>
        </w:rPr>
        <w:t>: the applicable Benchmark Replacement excluding the related Benchmark Replacement Adjustment.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Unfriendly Acquisition</w:t>
      </w:r>
      <w:r>
        <w:rPr>
          <w:color w:val="000000"/>
        </w:rPr>
        <w:t>”</w:t>
      </w:r>
      <w:r>
        <w:rPr>
          <w:rFonts w:ascii="Times New Roman;sans-serif" w:hAnsi="Times New Roman;sans-serif"/>
          <w:b w:val="false"/>
          <w:color w:val="000000"/>
          <w:sz w:val="22"/>
        </w:rPr>
        <w:t>: any acquisition that has not, at the time of the first public announcement of an offer relating thereto, been approved by the board of directors (or other legally recognized governing body) of the Person to be acquired; except that with respect to any acquisition of a non-U.S. Person, an otherwise friendly acquisition shall not be deemed to be unfriendly if it is not customary in such jurisdiction to obtain such approval prior to the first public announcement of an offer relating to a friendly acquisition.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Uniform Commercial Code</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i/>
          <w:color w:val="000000"/>
          <w:sz w:val="22"/>
        </w:rPr>
        <w:t>UCC</w:t>
      </w:r>
      <w:r>
        <w:rPr>
          <w:color w:val="000000"/>
        </w:rPr>
        <w:t>”</w:t>
      </w:r>
      <w:r>
        <w:rPr>
          <w:rFonts w:ascii="Times New Roman;sans-serif" w:hAnsi="Times New Roman;sans-serif"/>
          <w:b w:val="false"/>
          <w:color w:val="000000"/>
          <w:sz w:val="22"/>
        </w:rPr>
        <w:t>: the Uniform Commercial Code (or any similar or equivalent legislation) as in effect from time to time in the State of New York, or as the context may require, any other applicable jurisdiction.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United States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i/>
          <w:color w:val="000000"/>
          <w:sz w:val="22"/>
        </w:rPr>
        <w:t>U.S.</w:t>
      </w:r>
      <w:r>
        <w:rPr>
          <w:color w:val="000000"/>
        </w:rPr>
        <w:t>”</w:t>
      </w:r>
      <w:r>
        <w:rPr>
          <w:rFonts w:ascii="Times New Roman;sans-serif" w:hAnsi="Times New Roman;sans-serif"/>
          <w:b w:val="false"/>
          <w:color w:val="000000"/>
          <w:sz w:val="22"/>
        </w:rPr>
        <w:t>: the United States of America.</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i/>
          <w:color w:val="000000"/>
          <w:sz w:val="22"/>
        </w:rPr>
        <w:t>Unrestricted Cash</w:t>
      </w:r>
      <w:r>
        <w:rPr>
          <w:color w:val="000000"/>
        </w:rPr>
        <w:t>”</w:t>
      </w:r>
      <w:r>
        <w:rPr>
          <w:rFonts w:ascii="Times New Roman;sans-serif" w:hAnsi="Times New Roman;sans-serif"/>
          <w:b w:val="false"/>
          <w:color w:val="000000"/>
          <w:sz w:val="22"/>
        </w:rPr>
        <w:t>: the sum of the aggregate amount of cash and Cash Equivalents held in accounts of the Borrower and its Subsidiaries reflected in the combined consolidated balance sheet of the Borrower and its Subsidiaries to the extent that it would not appear as “restricted” on the combined consolidated balance sheet of the Borrower and its Subsidiaries (unless such appearance is related to the Loan Documents (or the Liens created thereunder)).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U.S.</w:t>
      </w:r>
      <w:r>
        <w:rPr>
          <w:color w:val="000000"/>
        </w:rPr>
        <w:t xml:space="preserve"> </w:t>
      </w:r>
      <w:r>
        <w:rPr>
          <w:rFonts w:ascii="Times New Roman;sans-serif" w:hAnsi="Times New Roman;sans-serif"/>
          <w:b/>
          <w:i/>
          <w:color w:val="000000"/>
          <w:sz w:val="22"/>
        </w:rPr>
        <w:t>Government Securities Business Day</w:t>
      </w:r>
      <w:r>
        <w:rPr>
          <w:color w:val="000000"/>
        </w:rPr>
        <w:t>”</w:t>
      </w:r>
      <w:r>
        <w:rPr>
          <w:rFonts w:ascii="Times New Roman;sans-serif" w:hAnsi="Times New Roman;sans-serif"/>
          <w:b w:val="false"/>
          <w:color w:val="000000"/>
          <w:sz w:val="22"/>
        </w:rPr>
        <w:t>: any day except for (a) a Saturday, (b) a Sunday or (c) a day on which the Securities Industry and Financial Markets Association (or any successor thereto)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U.S. Person</w:t>
      </w:r>
      <w:r>
        <w:rPr>
          <w:color w:val="000000"/>
        </w:rPr>
        <w:t>”</w:t>
      </w:r>
      <w:r>
        <w:rPr>
          <w:rFonts w:ascii="Times New Roman;sans-serif" w:hAnsi="Times New Roman;sans-serif"/>
          <w:b w:val="false"/>
          <w:color w:val="000000"/>
          <w:sz w:val="22"/>
        </w:rPr>
        <w:t>: any Person that is a “United States person” as defined in Section 7701(a)(30)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U.S. Tax Compliance Certificate</w:t>
      </w:r>
      <w:r>
        <w:rPr>
          <w:color w:val="000000"/>
        </w:rPr>
        <w:t>”</w:t>
      </w:r>
      <w:r>
        <w:rPr>
          <w:rFonts w:ascii="Times New Roman;sans-serif" w:hAnsi="Times New Roman;sans-serif"/>
          <w:b w:val="false"/>
          <w:color w:val="000000"/>
          <w:sz w:val="22"/>
        </w:rPr>
        <w:t>: is defined in Section 2.20(f)(ii)(B)(3).</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Withholding Agent</w:t>
      </w:r>
      <w:r>
        <w:rPr>
          <w:color w:val="000000"/>
        </w:rPr>
        <w:t>”</w:t>
      </w:r>
      <w:r>
        <w:rPr>
          <w:rFonts w:ascii="Times New Roman;sans-serif" w:hAnsi="Times New Roman;sans-serif"/>
          <w:b w:val="false"/>
          <w:color w:val="000000"/>
          <w:sz w:val="22"/>
        </w:rPr>
        <w:t>: as applicable, any applicable Loan Party and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Working Capital</w:t>
      </w:r>
      <w:r>
        <w:rPr>
          <w:color w:val="000000"/>
        </w:rPr>
        <w:t>”</w:t>
      </w:r>
      <w:r>
        <w:rPr>
          <w:rFonts w:ascii="Times New Roman;sans-serif" w:hAnsi="Times New Roman;sans-serif"/>
          <w:b w:val="false"/>
          <w:color w:val="000000"/>
          <w:sz w:val="22"/>
        </w:rPr>
        <w:t xml:space="preserve">: with respect to the Group Members, consolidated current assets (which shall exclude any cash or Cash Equivalents)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consolidated current liabilities (which shall exclude the current portion of any Indebtedness, in each case, to the extent included in “consolidated current liabilities”), in each case, determined in accordance with GAAP.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2"/>
        </w:rPr>
        <w:t>Write-Down and Conversion Powers</w:t>
      </w:r>
      <w:r>
        <w:rPr>
          <w:color w:val="000000"/>
        </w:rPr>
        <w:t>”</w:t>
      </w:r>
      <w:r>
        <w:rPr>
          <w:rFonts w:ascii="Times New Roman;sans-serif" w:hAnsi="Times New Roman;sans-serif"/>
          <w:b w:val="false"/>
          <w:color w:val="000000"/>
          <w:sz w:val="22"/>
        </w:rPr>
        <w:t xml:space="preserve">: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560705"/>
                <wp:effectExtent l="0" t="0" r="0" b="0"/>
                <wp:wrapNone/>
                <wp:docPr id="167" name="Frame16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49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240"/>
        <w:ind w:left="0" w:right="0" w:firstLine="720"/>
        <w:jc w:val="both"/>
        <w:rPr/>
      </w:pPr>
      <w:r>
        <w:rPr>
          <w:rFonts w:ascii="Times New Roman;sans-serif" w:hAnsi="Times New Roman;sans-serif"/>
          <w:b/>
          <w:color w:val="000000"/>
          <w:sz w:val="22"/>
        </w:rPr>
        <w:t>1.2    Other Definitional Provisions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Unless otherwise specified therein, all terms defined in this Agreement shall have the defined meanings given herein when used in the other Loan Documents or any certificate or other document made or delivered pursuant hereto or thereto.</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As used herein and in the other Loan Documents, and any certificate or other document made or delivered pursuant hereto or thereto, (i) accounting terms relating to any Group Member not defined in Section 1.1 and accounting terms partly defined in Section 1.1, to the extent not defined herein,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 given time of day shall, unless otherwise specified, be deemed to refer to New York City time, and (vi) references to agreements (including this Agreement) or other Contractual Obligations shall, unless otherwise specified, be deemed to refer to such agreements or Contractual Obligations as amended, supplemented, restated, amended and restated, extended, or otherwise modified from time to time. Notwithstanding the foregoing clause (i), for purposes of determining compliance with any covenant (including the computation of any financial covenant) contained herein, Indebtedness of any Group Member shall be deemed to be carried at 100% of the outstanding principal amount thereof, and the effects of FASB ASC 825 and FASB ASC 470-20 on financial liabilities shall be disregarded.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The words “</w:t>
      </w:r>
      <w:r>
        <w:rPr>
          <w:rFonts w:ascii="Times New Roman;sans-serif" w:hAnsi="Times New Roman;sans-serif"/>
          <w:b w:val="false"/>
          <w:i/>
          <w:color w:val="000000"/>
          <w:sz w:val="22"/>
        </w:rPr>
        <w:t>hereof</w:t>
      </w:r>
      <w:r>
        <w:rPr>
          <w:rFonts w:ascii="Times New Roman;sans-serif" w:hAnsi="Times New Roman;sans-serif"/>
          <w:b w:val="false"/>
          <w:color w:val="000000"/>
          <w:sz w:val="22"/>
        </w:rPr>
        <w:t>,” “</w:t>
      </w:r>
      <w:r>
        <w:rPr>
          <w:rFonts w:ascii="Times New Roman;sans-serif" w:hAnsi="Times New Roman;sans-serif"/>
          <w:b w:val="false"/>
          <w:i/>
          <w:color w:val="000000"/>
          <w:sz w:val="22"/>
        </w:rPr>
        <w:t>herein</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i/>
          <w:color w:val="000000"/>
          <w:sz w:val="22"/>
        </w:rPr>
        <w:t>hereunder</w:t>
      </w:r>
      <w:r>
        <w:rPr>
          <w:color w:val="000000"/>
        </w:rPr>
        <w:t xml:space="preserve">” </w:t>
      </w:r>
      <w:r>
        <w:rPr>
          <w:rFonts w:ascii="Times New Roman;sans-serif" w:hAnsi="Times New Roman;sans-serif"/>
          <w:b w:val="false"/>
          <w:color w:val="000000"/>
          <w:sz w:val="22"/>
        </w:rPr>
        <w:t>and words of similar import, when used in this Agreement, shall refer to this Agreement as a whole and not to any particular provision of this Agreement. The word “will” shall be construed to have the same meaning and effect as the word “shall.” Unless the context requires otherwise, (i) any reference herein to any Person shall be construed to include such Person’s successors and assigns, (ii) all references herein to Articles, Sections, Exhibits and Schedules shall be construed to refer to Articles and Sections of, and Exhibits and Schedules to, this Agreement, and (iii) any reference to any law or regulation herein shall, unless otherwise specified, refer to such law or regulation as amended, modified or supplemented from time to time.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The meanings given to terms defined herein shall be equally applicable to both the singular and plural forms of such terms. Whenever the context may require, any pronoun shall include the corresponding masculine, feminine and neuter forms.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    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560705"/>
                <wp:effectExtent l="0" t="0" r="0" b="0"/>
                <wp:wrapNone/>
                <wp:docPr id="168" name="Frame16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or entity)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w:t>
      </w:r>
    </w:p>
    <w:p>
      <w:pPr>
        <w:pStyle w:val="TextBody"/>
        <w:bidi w:val="0"/>
        <w:spacing w:lineRule="auto" w:line="288" w:before="0" w:after="240"/>
        <w:ind w:left="0" w:right="0" w:firstLine="720"/>
        <w:jc w:val="both"/>
        <w:rPr/>
      </w:pPr>
      <w:r>
        <w:rPr>
          <w:color w:val="000000"/>
        </w:rPr>
        <w:t>    </w:t>
      </w:r>
      <w:r>
        <w:rPr>
          <w:rFonts w:ascii="Times New Roman;sans-serif" w:hAnsi="Times New Roman;sans-serif"/>
          <w:b w:val="false"/>
          <w:color w:val="000000"/>
          <w:sz w:val="22"/>
        </w:rPr>
        <w:t xml:space="preserve">(f)    The phrase “permitted by” and the phrase “not prohibited by” shall be synonymous, and any transaction not specifically prohibited by the terms of the Loan Documents shall be deemed to be permitted by the Loan Documents;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this Section 1.2(f) shall not be deemed by itself to add exceptions to any negative covenant set forth in Section 7.</w:t>
      </w:r>
    </w:p>
    <w:p>
      <w:pPr>
        <w:pStyle w:val="TextBody"/>
        <w:bidi w:val="0"/>
        <w:spacing w:lineRule="auto" w:line="288" w:before="0" w:after="240"/>
        <w:ind w:left="0" w:right="0" w:firstLine="720"/>
        <w:jc w:val="both"/>
        <w:rPr>
          <w:color w:val="000000"/>
        </w:rPr>
      </w:pPr>
      <w:r>
        <w:rPr>
          <w:color w:val="000000"/>
        </w:rPr>
        <w:t>    </w:t>
      </w:r>
      <w:r>
        <w:rPr>
          <w:rFonts w:ascii="Times New Roman;sans-serif" w:hAnsi="Times New Roman;sans-serif"/>
          <w:b w:val="false"/>
          <w:color w:val="000000"/>
          <w:sz w:val="22"/>
        </w:rPr>
        <w:t>(g)    Notwithstanding anything to the contrary herein or in any other Loan Documents, if any Default or Event of Default has occurred hereunder as a result of failure by a Loan Party or any Subsidiary to meet a deadline specified in a Loan Document, and the Administrative Agent subsequently grants an extension with respect to such deadline, such Default or Event of Default shall be deemed to automatically be cured.</w:t>
      </w:r>
    </w:p>
    <w:p>
      <w:pPr>
        <w:pStyle w:val="TextBody"/>
        <w:bidi w:val="0"/>
        <w:spacing w:lineRule="auto" w:line="288" w:before="0" w:after="240"/>
        <w:ind w:left="0" w:right="0" w:firstLine="720"/>
        <w:jc w:val="both"/>
        <w:rPr/>
      </w:pPr>
      <w:r>
        <w:rPr>
          <w:rFonts w:ascii="Times New Roman;sans-serif" w:hAnsi="Times New Roman;sans-serif"/>
          <w:b/>
          <w:color w:val="000000"/>
          <w:sz w:val="22"/>
        </w:rPr>
        <w:t>1.3    Rounding</w:t>
      </w:r>
      <w:r>
        <w:rPr>
          <w:rFonts w:ascii="Times New Roman;sans-serif" w:hAnsi="Times New Roman;sans-serif"/>
          <w:b w:val="false"/>
          <w:color w:val="000000"/>
          <w:sz w:val="22"/>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place by which such ratio is expressed herein.</w:t>
      </w:r>
    </w:p>
    <w:p>
      <w:pPr>
        <w:pStyle w:val="TextBody"/>
        <w:bidi w:val="0"/>
        <w:spacing w:lineRule="auto" w:line="288" w:before="0" w:after="240"/>
        <w:ind w:left="0" w:right="0" w:firstLine="720"/>
        <w:jc w:val="both"/>
        <w:rPr/>
      </w:pPr>
      <w:r>
        <w:rPr>
          <w:rFonts w:ascii="Times New Roman;sans-serif" w:hAnsi="Times New Roman;sans-serif"/>
          <w:b/>
          <w:color w:val="000000"/>
          <w:sz w:val="22"/>
        </w:rPr>
        <w:t>1.4    Currency</w:t>
      </w:r>
      <w:r>
        <w:rPr>
          <w:rFonts w:ascii="Times New Roman;sans-serif" w:hAnsi="Times New Roman;sans-serif"/>
          <w:b w:val="false"/>
          <w:color w:val="000000"/>
          <w:sz w:val="22"/>
        </w:rPr>
        <w:t>. For purposes of all calculations and determinations hereunder, and all certifications and financial statements delivered hereunder, all amounts represented by such terms shall be expressed in Dollars or the Dollar Equivalent thereof. The Administrative Agent shall determine the Dollar Equivalent of any amount when required or permitted hereby, and a determination thereof by the Administrative Agent shall be conclusive absent manifest error. The Administrative Agent may, but shall not be obligated to, rely on any determination by the Borrower. The Administrative Agent may determine or re-determine the Dollar Equivalent of any amount on any date in its reasonable discretion.</w:t>
      </w:r>
    </w:p>
    <w:p>
      <w:pPr>
        <w:pStyle w:val="TextBody"/>
        <w:bidi w:val="0"/>
        <w:spacing w:lineRule="auto" w:line="288" w:before="0" w:after="240"/>
        <w:ind w:left="0" w:right="0" w:firstLine="720"/>
        <w:jc w:val="both"/>
        <w:rPr/>
      </w:pPr>
      <w:r>
        <w:rPr>
          <w:rFonts w:ascii="Times New Roman;sans-serif" w:hAnsi="Times New Roman;sans-serif"/>
          <w:b/>
          <w:color w:val="000000"/>
          <w:sz w:val="22"/>
        </w:rPr>
        <w:t>1.5    Limited Condition Acquisitions</w:t>
      </w:r>
      <w:r>
        <w:rPr>
          <w:rFonts w:ascii="Times New Roman;sans-serif" w:hAnsi="Times New Roman;sans-serif"/>
          <w:b w:val="false"/>
          <w:color w:val="000000"/>
          <w:sz w:val="22"/>
        </w:rPr>
        <w:t>. Notwithstanding anything in this Agreement or any Loan Document to the contrary, when, in connection with the incurrence of Indebtedness, the creation of Liens, the making of any Disposition or Investment or the repayment of Indebtedness (a)(i) calculating any applicable ratio (other than for purposes of the Financial Leverage Covenants) or the use of any basket, (ii) determining the accuracy of the representations and warranties set forth in Section 4 hereof or (iii) determining satisfaction of any conditions precedent, or (b) determining compliance with any provision that requires that no Default or Event of Default has occurred is continuing or would result therefrom (other than a Default or Event of Default pursuant to Section 8.1(a) or (f)), in each case of (a) and (b) in connection with a Limited Condition Acquisition, the date of determination of such ratio and determination of such compliance will, at the option of the Borrower (the Borrower’s election to exercise such option in connection with any Limited Condition Acquisition, an “</w:t>
      </w:r>
      <w:r>
        <w:rPr>
          <w:rFonts w:ascii="Times New Roman;sans-serif" w:hAnsi="Times New Roman;sans-serif"/>
          <w:b/>
          <w:i/>
          <w:color w:val="000000"/>
          <w:sz w:val="22"/>
        </w:rPr>
        <w:t>LCA Election</w:t>
      </w:r>
      <w:r>
        <w:rPr>
          <w:color w:val="000000"/>
        </w:rPr>
        <w:t>”</w:t>
      </w:r>
      <w:r>
        <w:rPr>
          <w:rFonts w:ascii="Times New Roman;sans-serif" w:hAnsi="Times New Roman;sans-serif"/>
          <w:b w:val="false"/>
          <w:color w:val="000000"/>
          <w:sz w:val="22"/>
        </w:rPr>
        <w:t>), which such election shall be made on or prior to the LCA Test Date, be deemed to be the date the definitive agreements for such Limited Condition Acquisition are entered into (the “</w:t>
      </w:r>
      <w:r>
        <w:rPr>
          <w:rFonts w:ascii="Times New Roman;sans-serif" w:hAnsi="Times New Roman;sans-serif"/>
          <w:b/>
          <w:i/>
          <w:color w:val="000000"/>
          <w:sz w:val="22"/>
        </w:rPr>
        <w:t>LCA Test Date</w:t>
      </w:r>
      <w:r>
        <w:rPr>
          <w:color w:val="000000"/>
        </w:rPr>
        <w:t>”</w:t>
      </w:r>
      <w:r>
        <w:rPr>
          <w:rFonts w:ascii="Times New Roman;sans-serif" w:hAnsi="Times New Roman;sans-serif"/>
          <w:b w:val="false"/>
          <w:color w:val="000000"/>
          <w:sz w:val="22"/>
        </w:rPr>
        <w:t xml:space="preserve">). If on a Pro Forma Basis after giving effect to such Limited Condition Acquisition and the other transactions to be entered into in connection therewith (including any incurrence of Indebtedness and the use of proceeds thereof) calculated as if such Limited Condition Acquisition and other transactions had occurred at the beginning of the most recently ended period of four consecutive trailing fiscal quarters of the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560705"/>
                <wp:effectExtent l="0" t="0" r="0" b="0"/>
                <wp:wrapNone/>
                <wp:docPr id="169" name="Frame16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ending prior to the LCA Test Date for which financial statements have been delivered pursuant to Section 6.1, the Borrower could have taken such action on the relevant LCA Test Date in compliance with the applicable requirements, then such provisions (other than with respect to compliance with a provision that requires no continuing Event of Default pursuant to Section 8.1(a) or (f), which shall be tested at the time of consummation of the Limited Condition Acquisition and related transactions) will be deemed to have been complied with. For the avoidance of doubt, (i) if any of such ratios are exceeded as a result of fluctuations in such ratio (including due to fluctuations in Consolidated Adjusted EBITDA) at or prior to the consummation of the relevant Limited Condition Acquisition, such ratios and other provisions will not be deemed to have been exceeded as a result of such fluctuations solely for purposes of determining whether the Limited Condition Acquisition is permitted hereunder and (ii) such ratios and compliance with such conditions (other than with respect to compliance with a provision that requires no continuing Event of Default pursuant to Section 8.1(a) or (f)) will not be tested at the time of consummation of such Limited Condition Acquisition or related transactions. If the Borrower has made an LCA Election for any Limited Condition Acquisition, then in connection with any subsequent calculation of any ratio or basket with respect to any other transaction on or following the relevant LCA Test Date and prior to the earlier of the date on which such Limited Condition Acquisition is consummated and the date that the definitive agreement for such Limited Condition Acquisition is terminated or expires without consummation of such Limited Condition Acquisition, any such ratio or basket will be calculated on a Pro Forma Basis assuming such Limited Condition Acquisition and other transactions in connection therewith (including any incurrence of Indebtedness and the use of proceeds thereof) have been consummated until such time as the applicable Limited Condition Acquisition has actually closed or the definitive agreement with respect thereto has been terminated or expires. Notwithstanding the foregoing, (i) in the event that any Limited Condition Acquisition shall not have occurred on or prior to the date that is 30 days following the execution of the definitive documents for such Limited Condition Acquisition, such transaction shall no longer constitute a Limited Condition Acquisition for purposes of the condition precedent to the borrowing of Delayed Draw Loans in connection with such Limited Condition Acquisition set forth in Section 5.4(a), (ii) in the event that any Limited Condition Acquisition shall not have occurred on or prior to the date that is 60 days following the execution of the definitive documents for such Limited Condition Acquisition, such transaction shall no longer constitute a Limited Condition Acquisition for purposes of the condition precedent to the borrowing of Delayed Draw Loans in connection with such Limited Condition Acquisition set forth in Section 5.4(b) and (iii) in the event that any Limited Condition Acquisition shall not have occurred on or prior to the date that is 120 days following the execution of the definitive documents for such Limited Condition Acquisition, such transaction shall no longer constitute a Limited Condition Acquisition for any other purpose.</w:t>
      </w:r>
    </w:p>
    <w:p>
      <w:pPr>
        <w:pStyle w:val="TextBody"/>
        <w:bidi w:val="0"/>
        <w:spacing w:lineRule="auto" w:line="288" w:before="0" w:after="240"/>
        <w:ind w:left="0" w:right="0" w:firstLine="720"/>
        <w:jc w:val="both"/>
        <w:rPr/>
      </w:pPr>
      <w:r>
        <w:rPr>
          <w:rFonts w:ascii="Times New Roman;sans-serif" w:hAnsi="Times New Roman;sans-serif"/>
          <w:b/>
          <w:color w:val="000000"/>
          <w:sz w:val="22"/>
        </w:rPr>
        <w:t>1.6    Rates</w:t>
      </w:r>
      <w:r>
        <w:rPr>
          <w:rFonts w:ascii="Times New Roman;sans-serif" w:hAnsi="Times New Roman;sans-serif"/>
          <w:b w:val="false"/>
          <w:color w:val="000000"/>
          <w:sz w:val="22"/>
        </w:rPr>
        <w:t xml:space="preserve">. The Administrative Agent does not warrant or accept responsibility for, and shall not have any liability with respect to (a) administration, construction, calculation, publication, continuation, discontinuation, movement, or regulation of, or any other matter related to, the ABR, the Benchmark, or any alternative, successor or replacement rate thereto (including any Benchmark Replacement), any component definition thereof or rates referred to in the definition thereof, including whether any Benchmark is similar to, or will produce the same value or economic equivalence of, any other rate or whether financial instruments referencing or underlying the Benchmark will have the same volume or liquidity as those referencing or underlying any other rate, (b) the impact of any regulatory statements about, or actions taken with respect to any Benchmark (or component thereof) or (c) changes made by any administrator to the methodology used to calculate any Benchmark (or component thereof). The Administrative Agent and its affiliates or other related entities may engage in transactions that affect the calculation of the ABR, the Benchmark, any alternative, successor or replacement rate (including any Benchmark Replacement) or any relevant adjustments thereto, in each case, in a manner adverse to the Borrower. The Administrative Agent does not warrant or accept responsibility for, and shall not have any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560705"/>
                <wp:effectExtent l="0" t="0" r="0" b="0"/>
                <wp:wrapNone/>
                <wp:docPr id="170" name="Frame17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liability with respect to, such transactions. The Administrative Agent may select information sources or services in its reasonable discretion to ascertain the ABR, the Benchmark, or any alternative, successor or replacement rate (including any Benchmark Replacement),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with respect to calculation of any such rate (or component thereof) by any such information source or service.</w:t>
      </w:r>
    </w:p>
    <w:p>
      <w:pPr>
        <w:pStyle w:val="TextBody"/>
        <w:bidi w:val="0"/>
        <w:spacing w:lineRule="auto" w:line="288" w:before="0" w:after="240"/>
        <w:ind w:left="0" w:right="0" w:firstLine="720"/>
        <w:jc w:val="both"/>
        <w:rPr/>
      </w:pPr>
      <w:r>
        <w:rPr>
          <w:rFonts w:ascii="Times New Roman;sans-serif" w:hAnsi="Times New Roman;sans-serif"/>
          <w:b/>
          <w:color w:val="000000"/>
          <w:sz w:val="22"/>
        </w:rPr>
        <w:t>1.7    Agreed Security Principles</w:t>
      </w:r>
      <w:r>
        <w:rPr>
          <w:rFonts w:ascii="Times New Roman;sans-serif" w:hAnsi="Times New Roman;sans-serif"/>
          <w:b w:val="false"/>
          <w:color w:val="000000"/>
          <w:sz w:val="22"/>
        </w:rPr>
        <w:t>. With respect to any Foreign Subsidiary, each obligation to deliver a guarantee or Security Document, the determination of Collateral and assets that are excluded from the Collateral of such Foreign Subsidiary and each obligation to deliver or enter into any other guaranty and security document under this Agreement by such Foreign Subsidiary shall be subject in all respects to the Agreed Security Principles.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SECTION 2</w:t>
        <w:br/>
        <w:t>AMOUNT AND TERMS OF COMMITMENTS</w:t>
      </w:r>
    </w:p>
    <w:p>
      <w:pPr>
        <w:pStyle w:val="TextBody"/>
        <w:bidi w:val="0"/>
        <w:spacing w:lineRule="auto" w:line="288" w:before="0" w:after="240"/>
        <w:ind w:left="0" w:right="0" w:firstLine="720"/>
        <w:jc w:val="both"/>
        <w:rPr/>
      </w:pPr>
      <w:r>
        <w:rPr>
          <w:rFonts w:ascii="Times New Roman;sans-serif" w:hAnsi="Times New Roman;sans-serif"/>
          <w:b/>
          <w:color w:val="000000"/>
          <w:sz w:val="22"/>
        </w:rPr>
        <w:t>2.1    Commitments</w:t>
      </w:r>
      <w:r>
        <w:rPr>
          <w:rFonts w:ascii="Times New Roman;sans-serif" w:hAnsi="Times New Roman;sans-serif"/>
          <w:b w:val="false"/>
          <w:color w:val="000000"/>
          <w:sz w:val="22"/>
        </w:rPr>
        <w:t xml:space="preserve">. </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Initial Loans</w:t>
      </w:r>
      <w:r>
        <w:rPr>
          <w:rFonts w:ascii="Times New Roman;sans-serif" w:hAnsi="Times New Roman;sans-serif"/>
          <w:b w:val="false"/>
          <w:color w:val="000000"/>
          <w:sz w:val="22"/>
        </w:rPr>
        <w:t>. Subject to the terms and conditions hereof, each Initial Lender severally agrees to make a term loan (an “</w:t>
      </w:r>
      <w:r>
        <w:rPr>
          <w:rFonts w:ascii="Times New Roman;sans-serif" w:hAnsi="Times New Roman;sans-serif"/>
          <w:b/>
          <w:i/>
          <w:color w:val="000000"/>
          <w:sz w:val="22"/>
        </w:rPr>
        <w:t>Initial Loan</w:t>
      </w:r>
      <w:r>
        <w:rPr>
          <w:color w:val="000000"/>
        </w:rPr>
        <w:t>”</w:t>
      </w:r>
      <w:r>
        <w:rPr>
          <w:rFonts w:ascii="Times New Roman;sans-serif" w:hAnsi="Times New Roman;sans-serif"/>
          <w:b w:val="false"/>
          <w:color w:val="000000"/>
          <w:sz w:val="22"/>
        </w:rPr>
        <w:t>) in Dollars to the Borrower on the Closing Date in an amount equal to the amount of the Initial Commitment of such Initial Lender.</w:t>
      </w:r>
      <w:r>
        <w:rPr>
          <w:color w:val="000000"/>
        </w:rPr>
        <w:t xml:space="preserve"> </w:t>
      </w:r>
      <w:r>
        <w:rPr>
          <w:rFonts w:ascii="Times New Roman;sans-serif" w:hAnsi="Times New Roman;sans-serif"/>
          <w:b w:val="false"/>
          <w:color w:val="000000"/>
          <w:sz w:val="22"/>
        </w:rPr>
        <w:t xml:space="preserve">The Initial Loans may from time to time be SOFR Loans or ABR Loans, as determined by the Borrower and notified to the Administrative Agent in accordance with Sections 2.2 and 2.13. Any amount borrowed under this Section 2.1(a) and subsequently repaid or prepaid may not be reborrowed. Each Initial Lender’s Initial Commitment shall terminate immediately and without further action on the Closing Date after giving effect to the funding of such Initial Lender’s Initial Commitment on such date. </w:t>
      </w:r>
    </w:p>
    <w:p>
      <w:pPr>
        <w:pStyle w:val="TextBody"/>
        <w:bidi w:val="0"/>
        <w:spacing w:lineRule="auto" w:line="288" w:before="24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Delayed Draw Loans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(i)    Subject to the terms and conditions hereof, each Delayed Draw Lender severally agrees to make a term loan (a “</w:t>
      </w:r>
      <w:r>
        <w:rPr>
          <w:rFonts w:ascii="Times New Roman;sans-serif" w:hAnsi="Times New Roman;sans-serif"/>
          <w:b/>
          <w:i/>
          <w:color w:val="000000"/>
          <w:sz w:val="22"/>
        </w:rPr>
        <w:t>Delayed Draw A Loan</w:t>
      </w:r>
      <w:r>
        <w:rPr>
          <w:color w:val="000000"/>
        </w:rPr>
        <w:t>”</w:t>
      </w:r>
      <w:r>
        <w:rPr>
          <w:rFonts w:ascii="Times New Roman;sans-serif" w:hAnsi="Times New Roman;sans-serif"/>
          <w:b w:val="false"/>
          <w:color w:val="000000"/>
          <w:sz w:val="22"/>
        </w:rPr>
        <w:t xml:space="preserve">) in Dollars to the Borrower after the Closing Date from time to time upon written request of the Borrower on or prior to the Delayed Draw A Commitment Termination Date in an amount not to exceed the Delayed Draw A Commitment of such Delayed Draw Lender;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in no event shall such Delayed Draw Lender be required to make a Delayed Draw Loan in excess of its unused Delayed Draw A Commitment as in effect immediately prior to such Delayed Draw Loan. Each borrowing of Delayed Draw A Loans shall result in a corresponding reduction in the Delayed Draw A Commitments in accordance with each Delayed Draw Lender’s Delayed Draw Pro Rata Share of the Delayed Draw A Commitments. Each Delayed Draw Lender’s Delayed Draw A Commitment shall terminate and be permanently reduced immediately and without further action at 11:59 p.m. (New York City time) on the Delayed Draw A Commitment Termination Date.</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(ii)    Subject to the terms and conditions hereof, each Delayed Draw Lender severally agrees to make a term loan (a “</w:t>
      </w:r>
      <w:r>
        <w:rPr>
          <w:rFonts w:ascii="Times New Roman;sans-serif" w:hAnsi="Times New Roman;sans-serif"/>
          <w:b/>
          <w:i/>
          <w:color w:val="000000"/>
          <w:sz w:val="22"/>
        </w:rPr>
        <w:t>Delayed Draw B Loan</w:t>
      </w:r>
      <w:r>
        <w:rPr>
          <w:color w:val="000000"/>
        </w:rPr>
        <w:t>”</w:t>
      </w:r>
      <w:r>
        <w:rPr>
          <w:rFonts w:ascii="Times New Roman;sans-serif" w:hAnsi="Times New Roman;sans-serif"/>
          <w:b w:val="false"/>
          <w:color w:val="000000"/>
          <w:sz w:val="22"/>
        </w:rPr>
        <w:t xml:space="preserve">) in Dollars to the Borrower after the Closing Date from time to time upon written request of the Borrower on or prior to the Delayed Draw B Commitment Termination Date in an amount not to exceed the Delayed Draw B Commitment of such Delayed Draw Lender;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in no event shall such Delayed Draw Lender be required to make a Delayed Draw Loan in excess of its unused Delayed Draw B Commitment as in effect immediately prior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560705"/>
                <wp:effectExtent l="0" t="0" r="0" b="0"/>
                <wp:wrapNone/>
                <wp:docPr id="171" name="Frame17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such Delayed Draw Loan. Each borrowing of Delayed Draw B Loans shall result in a corresponding reduction in the Delayed Draw B Commitments in accordance with each Delayed Draw Lender’s Delayed Draw Pro Rata Share of the Delayed Draw B Commitments. Each Delayed Draw Lender’s Delayed Draw B Commitment shall terminate and be permanently reduced immediately and without further action at 11:59 p.m. (New York City time) on the Delayed Draw B Commitment Termination Date.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Delayed Draw Loans may from time to time be SOFR Loans or ABR Loans, as determined by the Borrower and notified to the Administrative Agent in accordance with Sections 2.2 and 2.13. Any amount borrowed under this Section 2.1(b) and subsequently repaid or prepaid may not be reborrowed. </w:t>
      </w:r>
    </w:p>
    <w:p>
      <w:pPr>
        <w:pStyle w:val="TextBody"/>
        <w:bidi w:val="0"/>
        <w:spacing w:lineRule="auto" w:line="288" w:before="0" w:after="240"/>
        <w:ind w:left="0" w:right="0" w:firstLine="720"/>
        <w:jc w:val="both"/>
        <w:rPr/>
      </w:pPr>
      <w:r>
        <w:rPr>
          <w:rFonts w:ascii="Times New Roman;sans-serif" w:hAnsi="Times New Roman;sans-serif"/>
          <w:b/>
          <w:color w:val="000000"/>
          <w:sz w:val="22"/>
        </w:rPr>
        <w:t>2.2    Procedure for Borrowing</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Procedure for Borrowing Initial Loans</w:t>
      </w:r>
      <w:r>
        <w:rPr>
          <w:rFonts w:ascii="Times New Roman;sans-serif" w:hAnsi="Times New Roman;sans-serif"/>
          <w:b w:val="false"/>
          <w:color w:val="000000"/>
          <w:sz w:val="22"/>
        </w:rPr>
        <w:t xml:space="preserve">. The Borrower shall give the Administrative Agent a Notice of Borrowing (which must be received by the Administrative Agent prior to 11:00 A.M. one (1) Business Day prior to the anticipated Closing Date (or such shorter period as the Administrative Agent may reasonably agree)), requesting that the Term Lenders make the Initial Loans, specifying the amount to be borrowed, the Type of Loan and, in the case of SOFR Loans, specifying the length of the initial Interest Period therefor. Upon receipt of such Notice of Borrowing, the Administrative Agent shall promptly notify each Lender thereof. Not later than 2:00 P.M. on the Closing Date, each Lender shall make available to the Administrative Agent at the Funding Office an amount in immediately available funds equal to the Loan or Loans to be made by such Lender. The Administrative Agent shall credit the account of the Borrower on the books of such office of the Administrative Agent with the amount specified in the Notice of Borrowing in immediately available funds or, if so specified in the Notice of Borrowing, the Administrative Agent shall wire transfer or otherwise credit all or a portion of such amount to the accounts specified in the Notice of Borrowing.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Procedure for Borrowing of Delayed Draw Loans</w:t>
      </w:r>
      <w:r>
        <w:rPr>
          <w:rFonts w:ascii="Times New Roman;sans-serif" w:hAnsi="Times New Roman;sans-serif"/>
          <w:b w:val="false"/>
          <w:color w:val="000000"/>
          <w:sz w:val="22"/>
        </w:rPr>
        <w:t xml:space="preserve">. The Borrower may borrow under the Delayed Draw Commitments after the Closing Date and on or prior to the Delayed Draw A Commitment Termination Date (in the case of Delayed Draw A Loans) or Delayed Draw B Commitment Termination Date (in the case of Delayed Draw B Loans), on any Business Day;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Borrower shall give the Administrative Agent a Notice of Borrowing (which must be received by the Administrative Agent prior to 11:00 A.M. (a) three (3) U.S. Government Securities Business Days prior to the requested Borrowing Date, in the case of SOFR Loans, or (b) three (3) Business Days prior to the requested Borrowing Date, in the case of ABR Loans (or in each case, such shorter period as agreed by the Administrative Agent)), in each such case specifying (i) whether such Delayed Draw Loans are Delayed Draw A Loans or Delayed Draw B Loans, (ii) the amount and Type of Delayed Draw Loans to be borrowed, (iii) the requested Borrowing Date, (iv) in the case of SOFR Loans, the respective amounts of each such Type of Loan and the respective lengths of the initial Interest Period therefor, and (v) instructions for remittance of the proceeds of the Loans to be borrowed. Each borrowing under the Delayed Draw Commitments shall be in minimum amounts equal to (A) $1,000,000 with respect to ABR Loans and (B) $1,000,000 with respect to SOFR Loans, or, in each case, a whole multiple of $100,000 in excess thereof (or, if the then aggregate applicable unfunded Delayed Draw Commitments are less than such required minimum amount, such lesser amount). Upon receipt of any such Notice of Borrowing from the Borrower, the Administrative Agent shall promptly notify each Delayed Draw Lender thereof. Each Delayed Draw Lender will make the amount of its pro rata share of each such borrowing available to the Administrative Agent for the account of the Borrower at the Funding Office prior to 12:00 P.M. on the Borrowing Date requested by the Borrower in funds immediately available to the Administrative Agent. Such borrowing will then be made available to the Borrower by the Administrative Agent crediting such account as is designated in writing to the Administrative Agent by the Borrower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560705"/>
                <wp:effectExtent l="0" t="0" r="0" b="0"/>
                <wp:wrapNone/>
                <wp:docPr id="172" name="Frame17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amount specified in the Notice of Borrowing in immediately available funds. Any Notice of Borrowing may be conditioned on the occurrence of a specified event (including a Permitted Acquisition) and may be revoked or extended by the Borrower if such specified event is not consummated (or the Borrower reasonably determines that it does not expect it to be consummated) on the expected date;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if such Notice of Borrowing is revoked, extended or the specified event with respect to which the Notice of Borrowing is conditioned does not occur, the Borrower shall pay interest to the Administrative Agent, for the account of the applicable Delayed Draw Lenders, in accordance with the Notice of Borrowing and Section 2.15 of the Credit Agreement, as if the borrowing specified in the Notice of Borrowing had been made, for the period commencing on the Borrowing Date specified in the Notice of Borrowing through, and including, (x) in the case of revocation or the specified event with respect to which the Notice of Borrowing is conditioned does not occur, the second Business Day occurring thereafter, and (y) in the case of an extension, the extended date of borrowing.</w:t>
      </w:r>
    </w:p>
    <w:p>
      <w:pPr>
        <w:pStyle w:val="TextBody"/>
        <w:bidi w:val="0"/>
        <w:spacing w:lineRule="auto" w:line="288" w:before="0" w:after="240"/>
        <w:ind w:left="0" w:right="0" w:firstLine="720"/>
        <w:jc w:val="both"/>
        <w:rPr/>
      </w:pPr>
      <w:r>
        <w:rPr>
          <w:rFonts w:ascii="Times New Roman;sans-serif" w:hAnsi="Times New Roman;sans-serif"/>
          <w:b/>
          <w:color w:val="000000"/>
          <w:sz w:val="22"/>
        </w:rPr>
        <w:t>2.3    Repayment of Loans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Borrower shall repay to the Administrative Agent for the ratable benefit of the Lenders holding Initial Loans (i) on the last day of each fiscal quarter of the Borrower, commencing with the fiscal quarter of the Borrower ending on December 31, 2024, an aggregate principal amount equal to 0.25% of the aggregate original principal amount of the Initial Loans incurred on the Closing Date, and (ii) on the Maturity Date, the aggregate principal amount of all Initial Loans outstanding on such date.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Borrower shall repay to the Administrative Agent for the ratable benefit of the Lenders holding Delayed Draw A Loans (i) on the last day of each fiscal quarter of the Borrower following the applicable Delayed Draw A Funding Date, commencing with the last day of the first full fiscal quarter of the Borrower following the applicable Delayed Draw A Funding Date, an aggregate principal amount equal to 0.25% of the aggregate original principal amount of the Delayed Draw A Loans made on such Delayed Draw A Funding Date, and (ii) on the Maturity Date, the aggregate principal amount of all Delayed Draw A Loans outstanding on such date.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Borrower shall repay to the Administrative Agent for the ratable benefit of the Lenders holding Delayed Draw B Loans (i) on the last day of each fiscal quarter of the Borrower following the applicable Delayed Draw B Funding Date, commencing with the last day of the first full fiscal quarter of the Borrower following the applicable Delayed Draw B Funding Date, an aggregate principal amount equal to 0.25% of the aggregate original principal amount of the Delayed Draw B Loans made on such Delayed Draw B Funding Date, and (ii) on the Maturity Date, the aggregate principal amount of all Delayed Draw B Loans outstanding on such date.</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In the event any Incremental Loans, Extended Loans, or Refinancing Loans are made, such Incremental Loans, Extended Loans or Refinancing Loans will be repaid in such installments as may be set forth in the applicable Incremental Amendment, Extension Amendment or Refinancing Amendment, as applicable.</w:t>
      </w:r>
    </w:p>
    <w:p>
      <w:pPr>
        <w:pStyle w:val="TextBody"/>
        <w:bidi w:val="0"/>
        <w:spacing w:lineRule="auto" w:line="288" w:before="24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Notwithstanding the foregoing clauses (a), (b) and (c):</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any installment payments contemplated by clause (a), (b) or (c)above will be reduced in the order set forth in Sections 2.11 or 2.12(g), as applicable, commencing with the next-occurring installment payment in connection with any voluntary or mandatory prepayments of the Loans in accordance with Sections 2.11 and 2.12, as applicable, or any Discounted Prepayments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560705"/>
                <wp:effectExtent l="0" t="0" r="0" b="0"/>
                <wp:wrapNone/>
                <wp:docPr id="173" name="Frame17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Loans in accordance with Section 2.29 or assignments to the Borrower or any Subsidiary made pursuant to Section 10.6(h);</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    the rate of amortization (or the amount of any installment) with respect to any tranche of Loans may be increased (and the provisions of Section 2.3(a), (b) or (c) or the applicable Incremental Amendment, Extension Amendment or Refinancing Amendment may be amended accordingly) at the option of the Borrower with the approval of the Administrative Agent without the consent of the Lenders, in connection with the incurrence of any subsequent Incremental Loans, Extended Loans or Refinancing Loans that also comprise part of such tranche of Loans; and</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(iii)    to the extent not previously paid, all Loans shall be due and payable on the Maturity Date, together with accrued and unpaid interest on the principal amount to be paid to but excluding the date of payment.</w:t>
      </w:r>
    </w:p>
    <w:p>
      <w:pPr>
        <w:pStyle w:val="TextBody"/>
        <w:bidi w:val="0"/>
        <w:spacing w:lineRule="auto" w:line="288" w:before="0" w:after="240"/>
        <w:ind w:left="0" w:right="0" w:firstLine="720"/>
        <w:jc w:val="both"/>
        <w:rPr/>
      </w:pPr>
      <w:r>
        <w:rPr>
          <w:rFonts w:ascii="Times New Roman;sans-serif" w:hAnsi="Times New Roman;sans-serif"/>
          <w:b/>
          <w:color w:val="000000"/>
          <w:sz w:val="22"/>
        </w:rPr>
        <w:t>2.4    [Reserved]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2.5    [Reserved]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2"/>
        </w:rPr>
        <w:t>2.6    [Reserved]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2.7    [Reserved]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2.8    [Reserved]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2.9    Fees; Prepayment Premium</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Fee Letter</w:t>
      </w:r>
      <w:r>
        <w:rPr>
          <w:rFonts w:ascii="Times New Roman;sans-serif" w:hAnsi="Times New Roman;sans-serif"/>
          <w:b w:val="false"/>
          <w:color w:val="000000"/>
          <w:sz w:val="22"/>
        </w:rPr>
        <w:t>. The Borrower agrees to pay to the Administrative Agent and the Lenders the fees in the amounts and on the dates as set forth in the Fee Letter and to perform any other obligations contained therein.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Delayed Draw Commitment Fee</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(i)    The Borrower agrees to pay the Administrative Agent for the account of each Delayed Draw Lender, a commitment fee (the “</w:t>
      </w:r>
      <w:r>
        <w:rPr>
          <w:rFonts w:ascii="Times New Roman;sans-serif" w:hAnsi="Times New Roman;sans-serif"/>
          <w:b/>
          <w:i/>
          <w:color w:val="000000"/>
          <w:sz w:val="22"/>
        </w:rPr>
        <w:t>Delayed Draw A Commitment Fee</w:t>
      </w:r>
      <w:r>
        <w:rPr>
          <w:color w:val="000000"/>
        </w:rPr>
        <w:t>”</w:t>
      </w:r>
      <w:r>
        <w:rPr>
          <w:rFonts w:ascii="Times New Roman;sans-serif" w:hAnsi="Times New Roman;sans-serif"/>
          <w:b w:val="false"/>
          <w:color w:val="000000"/>
          <w:sz w:val="22"/>
        </w:rPr>
        <w:t xml:space="preserve">) equal to 1.50% </w:t>
      </w:r>
      <w:r>
        <w:rPr>
          <w:rFonts w:ascii="Times New Roman;sans-serif" w:hAnsi="Times New Roman;sans-serif"/>
          <w:b w:val="false"/>
          <w:i/>
          <w:color w:val="000000"/>
          <w:sz w:val="22"/>
        </w:rPr>
        <w:t xml:space="preserve">per annum </w:t>
      </w:r>
      <w:r>
        <w:rPr>
          <w:rFonts w:ascii="Times New Roman;sans-serif" w:hAnsi="Times New Roman;sans-serif"/>
          <w:b w:val="false"/>
          <w:color w:val="000000"/>
          <w:sz w:val="22"/>
        </w:rPr>
        <w:t>on the actual daily unused outstanding amount of the Delayed Draw A Commitments of such Delayed Draw Lender beginning on the Closing Date until the Delayed Draw A Commitment Termination Date. The Delayed Draw A Commitment Fees shall accrue at all times from the Closing Date until the Delayed Draw A Commitment Termination Date, including at any time during which one or more of the conditions in Section 5.2 or Section 5.4 are not met, and shall be due and payable quarterly in arrears on the last Business Day of each of March, June, September and December, commencing September 30, 2024.</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(ii)    The Borrower agrees to pay the Administrative Agent for the account of each Delayed Draw Lender, a commitment fee (the “</w:t>
      </w:r>
      <w:r>
        <w:rPr>
          <w:rFonts w:ascii="Times New Roman;sans-serif" w:hAnsi="Times New Roman;sans-serif"/>
          <w:b/>
          <w:i/>
          <w:color w:val="000000"/>
          <w:sz w:val="22"/>
        </w:rPr>
        <w:t>Delayed Draw B Commitment Fee</w:t>
      </w:r>
      <w:r>
        <w:rPr>
          <w:color w:val="000000"/>
        </w:rPr>
        <w:t>”</w:t>
      </w:r>
      <w:r>
        <w:rPr>
          <w:rFonts w:ascii="Times New Roman;sans-serif" w:hAnsi="Times New Roman;sans-serif"/>
          <w:b w:val="false"/>
          <w:color w:val="000000"/>
          <w:sz w:val="22"/>
        </w:rPr>
        <w:t xml:space="preserve">) equal to (i) from the Closing Date to and including the first year anniversary of the Closing Date, 1.50% </w:t>
      </w:r>
      <w:r>
        <w:rPr>
          <w:rFonts w:ascii="Times New Roman;sans-serif" w:hAnsi="Times New Roman;sans-serif"/>
          <w:b w:val="false"/>
          <w:i/>
          <w:color w:val="000000"/>
          <w:sz w:val="22"/>
        </w:rPr>
        <w:t>per annum</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and (ii) after the first year anniversary of the Closing Date, 2.50% </w:t>
      </w:r>
      <w:r>
        <w:rPr>
          <w:rFonts w:ascii="Times New Roman;sans-serif" w:hAnsi="Times New Roman;sans-serif"/>
          <w:b w:val="false"/>
          <w:i/>
          <w:color w:val="000000"/>
          <w:sz w:val="22"/>
        </w:rPr>
        <w:t>per annum</w:t>
      </w:r>
      <w:r>
        <w:rPr>
          <w:rFonts w:ascii="Times New Roman;sans-serif" w:hAnsi="Times New Roman;sans-serif"/>
          <w:b w:val="false"/>
          <w:color w:val="000000"/>
          <w:sz w:val="22"/>
        </w:rPr>
        <w:t xml:space="preserve">, in each case, on the actual daily unused outstanding amount of the Delayed Draw B Commitments of such Delayed Draw Lender beginning on the Closing Date until the Delayed Draw B Termination Date. The Delayed Draw B Commitment Fees shall accrue at all times from the Closing Date until the Delayed Draw B Commitment Termination Date, including at any time during which one or more of the conditions in Section 5.2 or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560705"/>
                <wp:effectExtent l="0" t="0" r="0" b="0"/>
                <wp:wrapNone/>
                <wp:docPr id="174" name="Frame17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Section 5.4 are not met, and shall be due and payable quarterly in arrears on the last Business Day of each of March, June, September and December, commencing September 30, 2024.</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Fees Nonrefundable</w:t>
      </w:r>
      <w:r>
        <w:rPr>
          <w:rFonts w:ascii="Times New Roman;sans-serif" w:hAnsi="Times New Roman;sans-serif"/>
          <w:b w:val="false"/>
          <w:color w:val="000000"/>
          <w:sz w:val="22"/>
        </w:rPr>
        <w:t xml:space="preserve">. All fees payable under this </w:t>
      </w:r>
      <w:r>
        <w:rPr>
          <w:rFonts w:ascii="Times New Roman;sans-serif" w:hAnsi="Times New Roman;sans-serif"/>
          <w:b w:val="false"/>
          <w:color w:val="000000"/>
          <w:sz w:val="22"/>
          <w:u w:val="single"/>
        </w:rPr>
        <w:t>Section 2.9</w:t>
      </w:r>
      <w:r>
        <w:rPr>
          <w:color w:val="000000"/>
        </w:rPr>
        <w:t xml:space="preserve"> </w:t>
      </w:r>
      <w:r>
        <w:rPr>
          <w:rFonts w:ascii="Times New Roman;sans-serif" w:hAnsi="Times New Roman;sans-serif"/>
          <w:b w:val="false"/>
          <w:color w:val="000000"/>
          <w:sz w:val="22"/>
        </w:rPr>
        <w:t>shall be fully earned on the date paid and nonrefundable.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Prepayment Premium</w:t>
      </w:r>
      <w:r>
        <w:rPr>
          <w:rFonts w:ascii="Times New Roman;sans-serif" w:hAnsi="Times New Roman;sans-serif"/>
          <w:b w:val="false"/>
          <w:color w:val="000000"/>
          <w:sz w:val="22"/>
        </w:rPr>
        <w:t>. Notwithstanding anything to the contrary contained herein, in the event that (i) the Borrower makes any voluntary prepayment of the Term Loans, (ii) the Borrower makes any mandatory prepayment of Term Loans pursuant to Section 2.12(a), (iii) the Borrower makes any mandatory prepayment of Term Loans pursuant to Section 2.12(b), (iv) the Borrower makes any mandatory prepayment of Term Loans with respect to a Specified Asset Sale pursuant to Section 2.12(c) and the amount of such mandatory prepayment, when taken together with all other mandatory prepayments made pursuant to Section 2.12(c) in such fiscal year with respect to Specified Asset Sales, exceeds $10,000,000 (it being understood that notwithstanding anything herein to the contrary, only the amount of such mandatory prepayment in excess of such threshold shall be subject to the Prepayment Premium) or (v) the Term Loans are accelerated during the continuation of an Event of Default (clauses (i) through (iv), each, a “</w:t>
      </w:r>
      <w:r>
        <w:rPr>
          <w:rFonts w:ascii="Times New Roman;sans-serif" w:hAnsi="Times New Roman;sans-serif"/>
          <w:b/>
          <w:i/>
          <w:color w:val="000000"/>
          <w:sz w:val="22"/>
        </w:rPr>
        <w:t>Prepayment Premium Event</w:t>
      </w:r>
      <w:r>
        <w:rPr>
          <w:color w:val="000000"/>
        </w:rPr>
        <w:t>”</w:t>
      </w:r>
      <w:r>
        <w:rPr>
          <w:rFonts w:ascii="Times New Roman;sans-serif" w:hAnsi="Times New Roman;sans-serif"/>
          <w:b w:val="false"/>
          <w:color w:val="000000"/>
          <w:sz w:val="22"/>
        </w:rPr>
        <w:t>), then in each case the Borrower shall pay to the Administrative Agent, for the ratable account of each applicable Lender, a premium of (such applicable premium, the “</w:t>
      </w:r>
      <w:r>
        <w:rPr>
          <w:rFonts w:ascii="Times New Roman;sans-serif" w:hAnsi="Times New Roman;sans-serif"/>
          <w:b/>
          <w:i/>
          <w:color w:val="000000"/>
          <w:sz w:val="22"/>
        </w:rPr>
        <w:t>Prepayment Premium</w:t>
      </w:r>
      <w:r>
        <w:rPr>
          <w:color w:val="000000"/>
        </w:rPr>
        <w:t>”</w:t>
      </w:r>
      <w:r>
        <w:rPr>
          <w:rFonts w:ascii="Times New Roman;sans-serif" w:hAnsi="Times New Roman;sans-serif"/>
          <w:b w:val="false"/>
          <w:color w:val="000000"/>
          <w:sz w:val="22"/>
        </w:rPr>
        <w:t>):</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2"/>
        </w:rPr>
        <w:t xml:space="preserve">(w)    in the case of any Prepayment Premium Event occurring prior to July 16, 2025, 3.00% of the principal amount of such Term Loans subject to such prepayment, repayment or acceleration accompanied by the Applicable Make-Whole Amount, </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2"/>
        </w:rPr>
        <w:t xml:space="preserve">(x)     in the case of any Prepayment Premium Event occurring on or after July 16, 2025 but prior to July 16, 2026, 3.00% of the principal amount of such Term Loans subject to such prepayment, repayment or acceleration, </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2"/>
        </w:rPr>
        <w:t>(y)     in the case of any Prepayment Premium Event occurring on or after July 16, 2026 but prior to July 16, 2027, 2.00%, of the principal amount of such Term Loans subject to such prepayment, repayment or acceleration, and</w:t>
      </w:r>
    </w:p>
    <w:p>
      <w:pPr>
        <w:pStyle w:val="TextBody"/>
        <w:bidi w:val="0"/>
        <w:spacing w:lineRule="auto" w:line="288" w:before="0" w:after="240"/>
        <w:jc w:val="both"/>
        <w:rPr>
          <w:color w:val="000000"/>
        </w:rPr>
      </w:pPr>
      <w:r>
        <w:rPr>
          <w:color w:val="000000"/>
        </w:rPr>
        <w:t xml:space="preserve">     </w:t>
      </w:r>
      <w:r>
        <w:rPr>
          <w:rFonts w:ascii="Times New Roman;sans-serif" w:hAnsi="Times New Roman;sans-serif"/>
          <w:b w:val="false"/>
          <w:color w:val="000000"/>
          <w:sz w:val="22"/>
        </w:rPr>
        <w:t xml:space="preserve">(z)     in the case of any Prepayment Premium Event occurring on or after July 16, 2027 but prior to July 16, 2028 1.00%, of the principal amount of such Term Loans subject to such prepayment, repayment or acceleration.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avoidance of doubt, there shall be no Prepayment Premium for any prepayment, repayment or acceleration occurring on or after July 16, 2028.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Any Prepayment Premium payable above shall be presumed to be the liquidated damages sustained by each Lender and the Borrower agrees that it is reasonable under the circumstances currently existing. THE BORROWER EXPRESSLY WAIVES (TO THE FULLEST EXTENT IT MAY LAWFULLY DO SO) THE PROVISIONS OF ANY PRESENT OR FUTURE STATUTE OR LAW THAT PROHIBITS OR MAY PROHIBIT THE COLLECTION OF THE PREPAYMENT PREMIUM IN CONNECTION WITH ANY SUCH ACCELERATION. The Borrower expressly agrees (to the fullest extent it may lawfully do so) that: (A) the Prepayment Premium is reasonable and is the product of an arm’s length transaction between sophisticated business people, ably represented by counsel; (B) the Prepayment Premium shall be payable notwithstanding the then prevailing market rates at the time payment is made; (C) there has been a course of conduct between the Lenders and the Borrower giving specific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560705"/>
                <wp:effectExtent l="0" t="0" r="0" b="0"/>
                <wp:wrapNone/>
                <wp:docPr id="175" name="Frame17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consideration in this transaction for such agreement to pay the Prepayment Premium; and (D) the Borrower shall be estopped hereafter from claiming differently than as agreed to in this paragraph.</w:t>
      </w:r>
    </w:p>
    <w:p>
      <w:pPr>
        <w:pStyle w:val="TextBody"/>
        <w:bidi w:val="0"/>
        <w:spacing w:lineRule="auto" w:line="288" w:before="0" w:after="240"/>
        <w:ind w:left="0" w:right="0" w:firstLine="720"/>
        <w:jc w:val="both"/>
        <w:rPr/>
      </w:pPr>
      <w:r>
        <w:rPr>
          <w:rFonts w:ascii="Times New Roman;sans-serif" w:hAnsi="Times New Roman;sans-serif"/>
          <w:b/>
          <w:color w:val="000000"/>
          <w:sz w:val="22"/>
        </w:rPr>
        <w:t>2.10    Termination or Reduction of Commitments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The Borrower may, upon not less than three Business Days’ prior written notice to the Administrative Agent (which written notice the Administrative Agent will promptly transmit by telefacsimile or other electronic means to each applicable Delayed Lender holding Delayed Draw Commitments), at any time and from time to time terminate in whole or permanently reduce in part, without premium or penalty, the Delayed Draw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partial reduction of the Delayed Draw Commitments shall be in integral multiples of $1,000,000.</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Borrower’s notice to the Administrative Agent shall designate the date (which shall be a Business Day) of such termination or reduction and the amount of any partial reduction, and such termination or reduction of the Delayed Draw A Commitments shall be effective on the date specified in the Borrower’s notice and shall reduce the Delayed Draw A Commitment of each Delayed Draw Lender proportionately to its Delayed Draw Pro Rata Share thereof.</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Borrower’s notice to the Administrative Agent shall designate the date (which shall be a Business Day) of such termination or reduction and the amount of any partial reduction, and such termination or reduction of the Delayed Draw B Commitments shall be effective on the date specified in the Borrower’s notice and shall reduce the Delayed Draw B Commitment of each Delayed Draw Lender proportionately to its Delayed Draw Pro Rata Share thereof.</w:t>
      </w:r>
    </w:p>
    <w:p>
      <w:pPr>
        <w:pStyle w:val="TextBody"/>
        <w:bidi w:val="0"/>
        <w:spacing w:lineRule="auto" w:line="288" w:before="0" w:after="240"/>
        <w:ind w:left="0" w:right="0" w:firstLine="720"/>
        <w:jc w:val="both"/>
        <w:rPr/>
      </w:pPr>
      <w:r>
        <w:rPr>
          <w:rFonts w:ascii="Times New Roman;sans-serif" w:hAnsi="Times New Roman;sans-serif"/>
          <w:b/>
          <w:color w:val="000000"/>
          <w:sz w:val="22"/>
        </w:rPr>
        <w:t xml:space="preserve">2.11    Optional Loan Prepayments </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Borrower may at any time and from time to time prepay the Loans, in whole or in part, without premium or penalty (other than as specified in Section 2.9(d)), upon irrevocable notice delivered to the Administrative Agent no later than 11:00 A.M. three (3) Business Days prior thereto, in the case of SOFR Loans, and no later than 11:00 A.M. one (1) Business Day prior thereto, in the case of ABR Loans, which notice shall specify the date and amount of the proposed prepayment; and (ii) that if such notice of prepayment indicates that such prepayment is to be funded with the proceeds of a refinancing or is otherwise conditioned on the occurrence of a specified event, such notice of prepayment may be revoked or extended if the financing or such specified event is not consummated (or the Borrower reasonably determines that it does not expect it to be consummated) on the expected date. Prepayments made pursuant to this Section 2.11 shall be applied to the prepayment of installments due in respect of the Loans in direct order of maturity (unless otherwise directed by the Borrower), in accordance with Sections 2.3 and 2.18(b).</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Upon receipt of any such notice the Administrative Agent shall promptly notify each relevant Lender thereof. If any such notice is given, the amount specified in such notice shall be due and payable on the date specified therein, together with accrued interest to such date on the amount prepaid. Partial prepayments of Loans shall be in an aggregate principal amount of $1,000,000 or a whole multiple of $500,000 in excess thereof. The foregoing provisions set forth in this Section 2.11 will not apply with respect to any Discounted Prepayment governed by Section 2.29 or to any assignments to the Borrower or any Subsidiary made pursuant to Section 10.6(h). </w:t>
      </w:r>
    </w:p>
    <w:p>
      <w:pPr>
        <w:pStyle w:val="TextBody"/>
        <w:bidi w:val="0"/>
        <w:spacing w:lineRule="auto" w:line="288" w:before="0" w:after="240"/>
        <w:ind w:left="0" w:right="0" w:firstLine="720"/>
        <w:jc w:val="both"/>
        <w:rPr/>
      </w:pPr>
      <w:r>
        <w:rPr>
          <w:rFonts w:ascii="Times New Roman;sans-serif" w:hAnsi="Times New Roman;sans-serif"/>
          <w:b/>
          <w:color w:val="000000"/>
          <w:sz w:val="22"/>
        </w:rPr>
        <w:t>2.12    Mandatory Prepayments</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560705"/>
                <wp:effectExtent l="0" t="0" r="0" b="0"/>
                <wp:wrapNone/>
                <wp:docPr id="176" name="Frame17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If any Permitted Convertible Indebtedness shall be incurred, an amount equal to 50% of the Net Cash Proceeds thereof shall be applied toward the prepayment of the Term Loans and other amounts as set forth in Section 2.12(g) on or prior to the date that is two (2) Business Days after the date of funding of such Permitted Convertible Indebtedness.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If any Indebtedness shall be incurred by any Group Member (excluding any Indebtedness incurred in accordance with Section 7.2 (other than Credit Agreement Refinancing Indebtedness)), an amount equal to 100% of the Net Cash Proceeds thereof shall be applied on the date of incurrence toward the prepayment of the Term Loans and other amounts as set forth in Section 2.12(g).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If on any date any Group Member shall receive Net Cash Proceeds from any Specified Asset Sale or from any Recovery Event unless a Reinvestment Notice shall be delivered to the Administrative Agent on or prior to the fifth (5</w:t>
      </w:r>
      <w:r>
        <w:rPr>
          <w:rFonts w:ascii="Times New Roman;sans-serif" w:hAnsi="Times New Roman;sans-serif"/>
          <w:b w:val="false"/>
          <w:color w:val="000000"/>
          <w:sz w:val="14"/>
        </w:rPr>
        <w:t>th</w:t>
      </w:r>
      <w:r>
        <w:rPr>
          <w:rFonts w:ascii="Times New Roman;sans-serif" w:hAnsi="Times New Roman;sans-serif"/>
          <w:b w:val="false"/>
          <w:color w:val="000000"/>
          <w:sz w:val="22"/>
        </w:rPr>
        <w:t>) Business Day after receipt thereof, 100% of such Net Cash Proceeds shall be applied toward the prepayment of the Term Loans and other amounts as set forth in Section 2.12(g) on or prior to the sixth (6</w:t>
      </w:r>
      <w:r>
        <w:rPr>
          <w:rFonts w:ascii="Times New Roman;sans-serif" w:hAnsi="Times New Roman;sans-serif"/>
          <w:b w:val="false"/>
          <w:color w:val="000000"/>
          <w:sz w:val="14"/>
        </w:rPr>
        <w:t>th</w:t>
      </w:r>
      <w:r>
        <w:rPr>
          <w:rFonts w:ascii="Times New Roman;sans-serif" w:hAnsi="Times New Roman;sans-serif"/>
          <w:b w:val="false"/>
          <w:color w:val="000000"/>
          <w:sz w:val="22"/>
        </w:rPr>
        <w:t xml:space="preserve">) Business Day after such Group Member’s receipt of such Net Cash Proceeds;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 notwithstanding the foregoing, on each Reinvestment Prepayment Date, an amount equal to the Reinvestment Prepayment Amount with respect to the relevant Reinvestment Event shall be applied toward the prepayment of the Term Loans and other amounts as set forth in Section 2.12(g) and (ii) with respect to Net Cash Proceeds from any Specified Asset Sale, (A) no Reinvestment Notice shall be delivered prior to the Delayed Draw Termination Date and (B) to the extent that the Consolidated Net Leverage Ratio exceeds 4.50 to 1.00, calculated on a Pro Forma Basis as of the end of the most recent Test Period, then the aggregate amount of the Reinvestment Deferred Amount specified in such Reinvestment Notice (when taken together with all prior Net Cash Proceeds for which a Reinvestment Notice was delivered, minus all Reinvestment Prepayment Amounts previously paid to the Administrative Agent pursuant to clause (i) of this proviso) shall not exceed $10,000,000.</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    If, for any fiscal year of the Borrower, commencing with the fiscal year ending December 31, 2025, there shall be positive Excess Cash Flow for such fiscal year, the Borrower shall, on or prior to the relevant Excess Cash Flow Application Date, apply the difference of (x) 50% of such Excess Cash Flow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(y) the aggregate amount of any voluntary prepayments (including Discounted Prepayments made pursuant to Section 2.29 and assignments to the Borrower or any Subsidiary made pursuant to Section 10.6(h), with the amount of such prepayment being equal to the amount actually paid by the Borrower (or any Subsidiary, as applicable)) of the Term Loans made during such fiscal year (in each case, to the extent such payment is not financed with the proceeds of long-term Indebtedness for borrowed money (other than revolving facilities) or the proceeds of an equity issuance) (such difference, the “</w:t>
      </w:r>
      <w:r>
        <w:rPr>
          <w:rFonts w:ascii="Times New Roman;sans-serif" w:hAnsi="Times New Roman;sans-serif"/>
          <w:b/>
          <w:i/>
          <w:color w:val="000000"/>
          <w:sz w:val="22"/>
        </w:rPr>
        <w:t>ECF Prepayment Amount</w:t>
      </w:r>
      <w:r>
        <w:rPr>
          <w:color w:val="000000"/>
        </w:rPr>
        <w:t>”</w:t>
      </w:r>
      <w:r>
        <w:rPr>
          <w:rFonts w:ascii="Times New Roman;sans-serif" w:hAnsi="Times New Roman;sans-serif"/>
          <w:b w:val="false"/>
          <w:color w:val="000000"/>
          <w:sz w:val="22"/>
        </w:rPr>
        <w:t xml:space="preserve">) toward the prepayment of the Term Loans and other amounts as set forth in Section 2.12(g);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no prepayment shall be required with respect to such fiscal year under this Section 2.12(d) unless the ECF Prepayment Amount exceeds the greater of (i) $2,000,000 and (ii) 5% of Consolidated Adjusted EBITDA as of the most recently ended Test Period (and only the amount in excess of such threshold shall be required to be used to prepay the Term Loans under this Section 2.12(d). Each such prepayment shall be made on or prior to the date that is three (3) Business Days after the earlier of (i) the date on which the financial statements of the Borrower referred to in Section 6.1(a), for the fiscal year with respect to which such prepayment is to be made are required to be delivered to the Lenders, and (ii) the date such financial statements are actually delivered (such date with respect to the applicable fiscal year, the “</w:t>
      </w:r>
      <w:r>
        <w:rPr>
          <w:rFonts w:ascii="Times New Roman;sans-serif" w:hAnsi="Times New Roman;sans-serif"/>
          <w:b/>
          <w:i/>
          <w:color w:val="000000"/>
          <w:sz w:val="22"/>
        </w:rPr>
        <w:t>Excess Cash Flow Application Date</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Upon the Borrower’s receipt of any Specified Equity Contribution, 100% of such Specified Equity Contribution shall be applied toward the prepayment of the Term Loans and other amounts as set forth in Section 2.12(g) within two (2) Business Days after receipt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560705"/>
                <wp:effectExtent l="0" t="0" r="0" b="0"/>
                <wp:wrapNone/>
                <wp:docPr id="177" name="Frame17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59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If on any date any Group Member shall receive any Extraordinary Receipts, 100% of the net cash proceeds of such Extraordinary Receipts shall be applied toward the prepayment of the Term Loans and other amounts as set forth in Section 2.12(g) within two (2) Business Days after receipt thereof.</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    Amounts to be applied in connection with prepayments made pursuant to this Section 2.12 shall be applied to the prepayment of scheduled installments due in respect of the Term Loans ratably for each upcoming scheduled installment payment of Term Loans required under Section 2.3 (excluding the final payment at the Maturity Date) until each such scheduled installment is paid in full and, thereafter, to the final payment due in respect of the Term Loans on the Maturity Date, and, in each case, to the extent accrued shall be paid together with accrued interest to the date of such prepayment on the amount prepaid; </w:t>
      </w:r>
    </w:p>
    <w:p>
      <w:pPr>
        <w:pStyle w:val="TextBody"/>
        <w:bidi w:val="0"/>
        <w:spacing w:lineRule="auto" w:line="288" w:before="0" w:after="240"/>
        <w:ind w:left="0" w:right="0" w:firstLine="720"/>
        <w:jc w:val="both"/>
        <w:rPr/>
      </w:pP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any Lender may decline any such prepayment made pursuant to this Section 2.12 (other than any prepayment made with the proceeds of Credit Agreement Refinancing Indebtedness) (the aggregate amount of all such prepayments declined in connection with any particular prepayment, collectively, the “</w:t>
      </w:r>
      <w:r>
        <w:rPr>
          <w:rFonts w:ascii="Times New Roman;sans-serif" w:hAnsi="Times New Roman;sans-serif"/>
          <w:b/>
          <w:i/>
          <w:color w:val="000000"/>
          <w:sz w:val="22"/>
        </w:rPr>
        <w:t>Declined Amount</w:t>
      </w:r>
      <w:r>
        <w:rPr>
          <w:color w:val="000000"/>
        </w:rPr>
        <w:t>”</w:t>
      </w:r>
      <w:r>
        <w:rPr>
          <w:rFonts w:ascii="Times New Roman;sans-serif" w:hAnsi="Times New Roman;sans-serif"/>
          <w:b w:val="false"/>
          <w:color w:val="000000"/>
          <w:sz w:val="22"/>
        </w:rPr>
        <w:t>), in which case the Declined Amount shall be retained by the Borrower and may be used for any purpose not prohibited by this Agreement. The Borrower shall deliver to the Administrative Agent notice of each prepayment of Term Loans pursuant to this Section 2.12 to the Administrative Agent not less than three (3) Business Days prior to the date such prepayment shall be made (each, a “</w:t>
      </w:r>
      <w:r>
        <w:rPr>
          <w:rFonts w:ascii="Times New Roman;sans-serif" w:hAnsi="Times New Roman;sans-serif"/>
          <w:b/>
          <w:i/>
          <w:color w:val="000000"/>
          <w:sz w:val="22"/>
        </w:rPr>
        <w:t>Mandatory Prepayment Date</w:t>
      </w:r>
      <w:r>
        <w:rPr>
          <w:color w:val="000000"/>
        </w:rPr>
        <w:t>”</w:t>
      </w:r>
      <w:r>
        <w:rPr>
          <w:rFonts w:ascii="Times New Roman;sans-serif" w:hAnsi="Times New Roman;sans-serif"/>
          <w:b w:val="false"/>
          <w:color w:val="000000"/>
          <w:sz w:val="22"/>
        </w:rPr>
        <w:t>). Such notice shall set forth (i) the Mandatory Prepayment Date and (ii) the aggregate amount of such prepayment.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(h)    The Borrower shall deliver to the Administrative Agent, at the time of each prepayment required under this </w:t>
      </w: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 a certificate signed by a Responsible Officer setting forth in reasonable detail the calculation of the amount of such prepayment.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Mandatory prepayments made pursuant to Section 2.12(a), Section 2.12(b) and (solely with respect to Specified Asset Sales, and solely to the extent provided in Section 2.9(d)) Section 2.12(c) shall be subject to the Prepayment Premium set forth in Section 2.9(d).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    Notwithstanding any provisions of this Section 2.12 to the contrary, to the extent the Borrower determines, acting in good faith, that any repatriation or distribution (or deemed repatriation or deemed distribution for tax purposes) to the Borrower of Net Cash Proceeds, Excess Cash Flow, and Extraordinary Receipts described in this Section 2.12 that are attributable to any Subsidiary would reasonably be expected to result in material adverse Tax consequences to any Group Member (as determined by the Borrower in good faith and in consultation with the Administrative Agent), or would be prohibited or restricted by applicable Requirements of Law, or applicable Operating Documents or material agreements of such Subsidiary, the applicable Net Cash Proceeds, Excess Cash Flow, or Extraordinary Receipts, as applicable, shall not be required to be so repatriated or distributed and the relevant amounts shall not be required to be prepaid in accordance with this Section 2.12. To the extent that the relevant material adverse Tax consequences, restrictions imposed by Requirements of Law or restrictions set forth in the applicable Operating Documents or material agreements, in each case, would no longer be applicable at any time in the twelve (12) month period following the day that the relevant amounts would otherwise be required to be prepaid pursuant to this Section 2.12, the Borrower shall cause such amounts to be prepaid as and to the extent otherwise required pursuant to this Section 2.12. The Borrower will use commercially reasonable efforts to avoid or mitigate any material adverse Tax consequences, restrictions imposed by Requirements of Law and restrictions set forth in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560705"/>
                <wp:effectExtent l="0" t="0" r="0" b="0"/>
                <wp:wrapNone/>
                <wp:docPr id="178" name="Frame17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Operating Documents or material agreements, in each case, that would otherwise limit an obligation of the Borrower to make a mandatory prepayment in accordance with the terms of this Section 2.12. </w:t>
      </w:r>
    </w:p>
    <w:p>
      <w:pPr>
        <w:pStyle w:val="TextBody"/>
        <w:bidi w:val="0"/>
        <w:spacing w:lineRule="auto" w:line="288" w:before="0" w:after="240"/>
        <w:ind w:left="0" w:right="0" w:firstLine="720"/>
        <w:jc w:val="both"/>
        <w:rPr/>
      </w:pPr>
      <w:r>
        <w:rPr>
          <w:rFonts w:ascii="Times New Roman;sans-serif" w:hAnsi="Times New Roman;sans-serif"/>
          <w:b/>
          <w:color w:val="000000"/>
          <w:sz w:val="22"/>
        </w:rPr>
        <w:t>2.13    Conversion and Continuation Options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Borrower may elect from time to time to convert SOFR Loans to ABR Loans by giving the Administrative Agent prior irrevocable notice in a Notice of Conversion/Continuation of such election no later than 11:00 A.M. on the Business Day preceding the proposed conversion date (or such later time as the Administrative Agent may agree). The Borrower may elect from time to time to convert ABR Loans to SOFR Loans by giving the Administrative Agent prior irrevocable notice in a Notice of Conversion/Continuation of such election no later than 11:00 A.M. on the third U.S. Government Securities Business Day preceding the proposed conversion date (which notice shall specify the length of the initial Interest Period therefor); and (ii) at the election of the Required Lenders prior to the applicable conversion date, no ABR Loan may be converted into a SOFR Loan when any Event of Default has occurred and is continuing. Upon receipt of any such notice, the Administrative Agent shall promptly notify each relevant Lender thereof.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Any SOFR Loan may be continued as such upon the expiration of the then-current Interest Period with respect thereto by the Borrower giving irrevocable notice in a Notice of Conversion/Continuation to the Administrative Agent no later than 11:00 A.M. three (3) Business Days prior to the last day of the then-current Interest Period (or such later date or time as the Administrative Agent may agree);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 at the election of the Required Lenders prior to the applicable continuation date, no SOFR Loan may be continued as such when any Event of Default has occurred and is continuing; and (ii) if the Borrower shall fail to give any required notice as described above in this paragraph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 </w:t>
      </w:r>
    </w:p>
    <w:p>
      <w:pPr>
        <w:pStyle w:val="TextBody"/>
        <w:bidi w:val="0"/>
        <w:spacing w:lineRule="auto" w:line="288" w:before="0" w:after="240"/>
        <w:ind w:left="0" w:right="0" w:firstLine="720"/>
        <w:jc w:val="both"/>
        <w:rPr/>
      </w:pPr>
      <w:r>
        <w:rPr>
          <w:rFonts w:ascii="Times New Roman;sans-serif" w:hAnsi="Times New Roman;sans-serif"/>
          <w:b/>
          <w:color w:val="000000"/>
          <w:sz w:val="22"/>
        </w:rPr>
        <w:t>2.14    Limitations on SOFR Tranches</w:t>
      </w:r>
      <w:r>
        <w:rPr>
          <w:rFonts w:ascii="Times New Roman;sans-serif" w:hAnsi="Times New Roman;sans-serif"/>
          <w:b w:val="false"/>
          <w:color w:val="000000"/>
          <w:sz w:val="22"/>
        </w:rPr>
        <w:t>. Notwithstanding anything to the contrary in this Agreement, all borrowings, conversions and continuations of SOFR Loans and all selections of Interest Periods shall be in such amounts and be made pursuant to such elections so that, (a) after giving effect thereto, the aggregate principal amount of the SOFR Loans comprising each SOFR Tranche (if any) shall be equal to $1,000,000 or a whole multiple of $100,000 in excess thereof (or, if less, the aggregate amount of Loans then-outstanding), and (b) no more than seven (7) SOFR Tranches shall be outstanding at any one time.</w:t>
      </w:r>
    </w:p>
    <w:p>
      <w:pPr>
        <w:pStyle w:val="TextBody"/>
        <w:bidi w:val="0"/>
        <w:spacing w:lineRule="auto" w:line="288" w:before="0" w:after="240"/>
        <w:ind w:left="0" w:right="0" w:firstLine="720"/>
        <w:jc w:val="both"/>
        <w:rPr/>
      </w:pPr>
      <w:r>
        <w:rPr>
          <w:rFonts w:ascii="Times New Roman;sans-serif" w:hAnsi="Times New Roman;sans-serif"/>
          <w:b/>
          <w:color w:val="000000"/>
          <w:sz w:val="22"/>
        </w:rPr>
        <w:t>2.15    Interest Rates and Payment Dates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Each SOFR Loan shall bear interest for each day during each Interest Period with respect thereto at a rate </w:t>
      </w:r>
      <w:r>
        <w:rPr>
          <w:rFonts w:ascii="Times New Roman;sans-serif" w:hAnsi="Times New Roman;sans-serif"/>
          <w:b w:val="false"/>
          <w:i/>
          <w:color w:val="000000"/>
          <w:sz w:val="22"/>
        </w:rPr>
        <w:t>per annum</w:t>
      </w:r>
      <w:r>
        <w:rPr>
          <w:color w:val="000000"/>
        </w:rPr>
        <w:t xml:space="preserve"> </w:t>
      </w:r>
      <w:r>
        <w:rPr>
          <w:rFonts w:ascii="Times New Roman;sans-serif" w:hAnsi="Times New Roman;sans-serif"/>
          <w:b w:val="false"/>
          <w:color w:val="000000"/>
          <w:sz w:val="22"/>
        </w:rPr>
        <w:t xml:space="preserve">equal to (i) Term SOFR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(ii) the Applicable Margin for SOFR Loans.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Each ABR Loan shall bear interest at a rate </w:t>
      </w:r>
      <w:r>
        <w:rPr>
          <w:rFonts w:ascii="Times New Roman;sans-serif" w:hAnsi="Times New Roman;sans-serif"/>
          <w:b w:val="false"/>
          <w:i/>
          <w:color w:val="000000"/>
          <w:sz w:val="22"/>
        </w:rPr>
        <w:t>per annum</w:t>
      </w:r>
      <w:r>
        <w:rPr>
          <w:color w:val="000000"/>
        </w:rPr>
        <w:t xml:space="preserve"> </w:t>
      </w:r>
      <w:r>
        <w:rPr>
          <w:rFonts w:ascii="Times New Roman;sans-serif" w:hAnsi="Times New Roman;sans-serif"/>
          <w:b w:val="false"/>
          <w:color w:val="000000"/>
          <w:sz w:val="22"/>
        </w:rPr>
        <w:t xml:space="preserve">equal to (i) the ABR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(ii) the Applicable Margin for ABR Loans.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During the continuance of an Event of Default, at the request of the Required Lenders, all overdue payments of principal and interest on outstanding Loans shall bear interest at a rate equal to the rate that would otherwise be applicable thereto pursuant to the foregoing provisions of this Section 2.15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2.00% </w:t>
      </w:r>
      <w:r>
        <w:rPr>
          <w:rFonts w:ascii="Times New Roman;sans-serif" w:hAnsi="Times New Roman;sans-serif"/>
          <w:b w:val="false"/>
          <w:i/>
          <w:color w:val="000000"/>
          <w:sz w:val="22"/>
        </w:rPr>
        <w:t>per annum</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i/>
          <w:color w:val="000000"/>
          <w:sz w:val="22"/>
        </w:rPr>
        <w:t>Default Rate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Default Rate shall apply to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560705"/>
                <wp:effectExtent l="0" t="0" r="0" b="0"/>
                <wp:wrapNone/>
                <wp:docPr id="179" name="Frame17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such overdue amounts automatically and without any Required Lender consent therefor upon the occurrence and during the continuance of any Event of Default arising under Section 8.1(a) or (f).</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    Interest on the outstanding principal amount of each Loan shall be payable in arrears on each Interest Payment Date;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interest accruing pursuant to Section 2.15(c) shall be payable from time to time on written demand.</w:t>
      </w:r>
    </w:p>
    <w:p>
      <w:pPr>
        <w:pStyle w:val="TextBody"/>
        <w:bidi w:val="0"/>
        <w:spacing w:lineRule="auto" w:line="288" w:before="0" w:after="240"/>
        <w:ind w:left="0" w:right="0" w:firstLine="720"/>
        <w:jc w:val="both"/>
        <w:rPr>
          <w:color w:val="000000"/>
        </w:rPr>
      </w:pPr>
      <w:r>
        <w:rPr>
          <w:color w:val="000000"/>
        </w:rPr>
        <w:t>    </w:t>
      </w:r>
      <w:r>
        <w:rPr>
          <w:rFonts w:ascii="Times New Roman;sans-serif" w:hAnsi="Times New Roman;sans-serif"/>
          <w:b w:val="false"/>
          <w:color w:val="000000"/>
          <w:sz w:val="22"/>
        </w:rPr>
        <w:t>(e)    Notwithstanding anything herein to the contrary, it is understood and agreed that interest on the Initial Loans shall commence accruing on July 16, 2024 pursuant to the Pre-Funding Letter.</w:t>
      </w:r>
    </w:p>
    <w:p>
      <w:pPr>
        <w:pStyle w:val="TextBody"/>
        <w:bidi w:val="0"/>
        <w:spacing w:lineRule="auto" w:line="288" w:before="0" w:after="240"/>
        <w:ind w:left="0" w:right="0" w:firstLine="720"/>
        <w:jc w:val="both"/>
        <w:rPr/>
      </w:pPr>
      <w:r>
        <w:rPr>
          <w:rFonts w:ascii="Times New Roman;sans-serif" w:hAnsi="Times New Roman;sans-serif"/>
          <w:b/>
          <w:color w:val="000000"/>
          <w:sz w:val="22"/>
        </w:rPr>
        <w:t>2.16    Computation of Interest and Fees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Interest and fees payable pursuant hereto shall be calculated on the basis of a 360-day year for the actual days elapsed, except that, with respect to ABR Loans the rate of interest on which is calculated on the basis of the Prime Rate, the interest thereon shall be calculated on the basis of a 365- (or 366-, as the case may be) day year for the actual days elapsed. The Administrative Agent shall as soon as practicable notify the Borrower and the relevant Lenders of each determination of Term SOFR. Any change in the interest rate on a Loan resulting from a change in the ABR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Section 2.16(a).</w:t>
      </w:r>
    </w:p>
    <w:p>
      <w:pPr>
        <w:pStyle w:val="TextBody"/>
        <w:bidi w:val="0"/>
        <w:spacing w:lineRule="auto" w:line="288" w:before="0" w:after="240"/>
        <w:ind w:left="0" w:right="0" w:firstLine="720"/>
        <w:jc w:val="both"/>
        <w:rPr/>
      </w:pPr>
      <w:r>
        <w:rPr>
          <w:rFonts w:ascii="Times New Roman;sans-serif" w:hAnsi="Times New Roman;sans-serif"/>
          <w:b/>
          <w:color w:val="000000"/>
          <w:sz w:val="22"/>
        </w:rPr>
        <w:t>2.17    Inability to Determine Interest Rate</w:t>
      </w:r>
      <w:r>
        <w:rPr>
          <w:rFonts w:ascii="Times New Roman;sans-serif" w:hAnsi="Times New Roman;sans-serif"/>
          <w:b w:val="false"/>
          <w:color w:val="000000"/>
          <w:sz w:val="22"/>
        </w:rPr>
        <w:t>. Subject to Section 2.17(c), if, on or prior to the first day of any Interest Period for any SOFR Loan:</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Administrative Agent determines (which determination shall be conclusive and binding absent manifest error) that “Term SOFR” cannot be determined pursuant to the definition thereof, 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funding such Loan, and the Required Lenders have provided notice of such determination to the Administrative Agent,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will promptly so notify the Borrower and each Lender.</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Upon notice thereof by the Administrative Agent to the Borrower, any obligation of the Lenders to make or maintain SOFR Loans, and any right of the Borrower to continue SOFR Loans or to convert ABR Loans to SOFR Loans shall be suspended (to the extent of the affected Interest Periods) until the Administrative Agent (with respect to clause (b), at the instruction of the Required Lenders) revokes such notice. Upon receipt of such notice, (i) the Borrower may revoke any pending request for a borrowing of, conversion to or continuation of SOFR Loans (to the extent of the affected Interest Periods) or, failing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60705"/>
                <wp:effectExtent l="0" t="0" r="0" b="0"/>
                <wp:wrapNone/>
                <wp:docPr id="180" name="Frame18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Borrower shall also pay accrued interest on the amount so converted. Subject to Section 2.17(c), if the Administrative Agent determines (which determination shall be conclusive and binding absent manifest error) that “Term SOFR” cannot be determined pursuant to the definition thereof on any given day, the interest rate on ABR Loans shall be determined by the Administrative Agent without reference to clause (c) of the definition of “ABR” until the Administrative Agent revokes such determination.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Benchmark Replacement Setting</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Benchmark Replacement</w:t>
      </w:r>
      <w:r>
        <w:rPr>
          <w:rFonts w:ascii="Times New Roman;sans-serif" w:hAnsi="Times New Roman;sans-serif"/>
          <w:b w:val="false"/>
          <w:color w:val="000000"/>
          <w:sz w:val="22"/>
        </w:rPr>
        <w:t>. 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w:t>
      </w:r>
      <w:r>
        <w:rPr>
          <w:rFonts w:ascii="Times New Roman;sans-serif" w:hAnsi="Times New Roman;sans-serif"/>
          <w:b w:val="false"/>
          <w:color w:val="000000"/>
          <w:sz w:val="14"/>
        </w:rPr>
        <w:t>th</w:t>
      </w:r>
      <w:r>
        <w:rPr>
          <w:rFonts w:ascii="Times New Roman;sans-serif" w:hAnsi="Times New Roman;sans-serif"/>
          <w:b w:val="false"/>
          <w:color w:val="000000"/>
          <w:sz w:val="22"/>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    </w:t>
      </w:r>
      <w:r>
        <w:rPr>
          <w:rFonts w:ascii="Times New Roman;sans-serif" w:hAnsi="Times New Roman;sans-serif"/>
          <w:b w:val="false"/>
          <w:color w:val="000000"/>
          <w:sz w:val="22"/>
          <w:u w:val="single"/>
        </w:rPr>
        <w:t>Benchmark Replacement Conforming Changes</w:t>
      </w:r>
      <w:r>
        <w:rPr>
          <w:rFonts w:ascii="Times New Roman;sans-serif" w:hAnsi="Times New Roman;sans-serif"/>
          <w:b w:val="false"/>
          <w:color w:val="000000"/>
          <w:sz w:val="22"/>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(iii)    </w:t>
      </w:r>
      <w:r>
        <w:rPr>
          <w:rFonts w:ascii="Times New Roman;sans-serif" w:hAnsi="Times New Roman;sans-serif"/>
          <w:b w:val="false"/>
          <w:color w:val="000000"/>
          <w:sz w:val="22"/>
          <w:u w:val="single"/>
        </w:rPr>
        <w:t>Notices; Standards for Decisions and Determinations</w:t>
      </w:r>
      <w:r>
        <w:rPr>
          <w:rFonts w:ascii="Times New Roman;sans-serif" w:hAnsi="Times New Roman;sans-serif"/>
          <w:b w:val="false"/>
          <w:color w:val="000000"/>
          <w:sz w:val="22"/>
        </w:rPr>
        <w:t xml:space="preserve">. The Administrative Agent will promptly notify the Borrower and the Lenders of (i) the implementation of any Benchmark Replacement and (ii) the effectiveness of any Conforming Changes. The Administrative Agent will notify the Borrower of (x) the removal or reinstatement of any tenor of a Benchmark pursuant to Section 2.17(c)(iv) and (y) the commencement of any Benchmark Unavailability Period. Any determination, decision or election that may be made by the Administrative Agent or, if applicable, any Lender (or group of Lenders) pursuant to this Section 2.17(c), including any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560705"/>
                <wp:effectExtent l="0" t="0" r="0" b="0"/>
                <wp:wrapNone/>
                <wp:docPr id="181" name="Frame18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determination with respect to a tenor, rate or adjustment or of the occurrence or non-occurrence of an event, circumstance or date and any decision to take or refrain from taking any action or selection, will be conclusive and binding absent manifest error and may be made in its or their sole discretion and without consent from any other party to this Agreement or any other Loan Document, except, in each case, as expressly required pursuant to this Section 2.17(c).</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(iv)    </w:t>
      </w:r>
      <w:r>
        <w:rPr>
          <w:rFonts w:ascii="Times New Roman;sans-serif" w:hAnsi="Times New Roman;sans-serif"/>
          <w:b w:val="false"/>
          <w:color w:val="000000"/>
          <w:sz w:val="22"/>
          <w:u w:val="single"/>
        </w:rPr>
        <w:t>Unavailability of Tenor of Benchmark</w:t>
      </w:r>
      <w:r>
        <w:rPr>
          <w:rFonts w:ascii="Times New Roman;sans-serif" w:hAnsi="Times New Roman;sans-serif"/>
          <w:b w:val="false"/>
          <w:color w:val="000000"/>
          <w:sz w:val="22"/>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(v)    </w:t>
      </w:r>
      <w:r>
        <w:rPr>
          <w:rFonts w:ascii="Times New Roman;sans-serif" w:hAnsi="Times New Roman;sans-serif"/>
          <w:b w:val="false"/>
          <w:color w:val="000000"/>
          <w:sz w:val="22"/>
          <w:u w:val="single"/>
        </w:rPr>
        <w:t>Benchmark Unavailability Period</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Upon the Borrower’s receipt of notice of the commencement of a Benchmark Unavailability Period,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the ABR based upon the then-current Benchmark or such tenor for such Benchmark, as applicable, will not be used in any determination of the ABR.</w:t>
      </w:r>
    </w:p>
    <w:p>
      <w:pPr>
        <w:pStyle w:val="TextBody"/>
        <w:bidi w:val="0"/>
        <w:spacing w:lineRule="auto" w:line="288" w:before="0" w:after="240"/>
        <w:ind w:left="0" w:right="0" w:firstLine="720"/>
        <w:jc w:val="both"/>
        <w:rPr/>
      </w:pPr>
      <w:r>
        <w:rPr>
          <w:rFonts w:ascii="Times New Roman;sans-serif" w:hAnsi="Times New Roman;sans-serif"/>
          <w:b/>
          <w:color w:val="000000"/>
          <w:sz w:val="22"/>
        </w:rPr>
        <w:t>2.18    Pro Rata Treatment and Payments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Except as set forth in any Incremental Amendment, Extension Amendment or Refinancing Amendment, each borrowing by the Borrower from the Lenders hereunder with respect to a Tranche, each payment by the Borrower on account of any commitment fee with respect to a Tranche and any reduction of the Commitments of a Tranche shall be made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according to the Term Percentages of the relevant Lenders with respect to the applicable Tranche.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Except as otherwise provided herein (including as set forth in any Incremental Amendment, Extension Amendment or Refinancing Amendment), each payment (including each prepayment) by the Borrower on account of principal of and interest on the Loans shall be made </w:t>
      </w:r>
      <w:r>
        <w:rPr>
          <w:rFonts w:ascii="Times New Roman;sans-serif" w:hAnsi="Times New Roman;sans-serif"/>
          <w:b w:val="false"/>
          <w:i/>
          <w:color w:val="000000"/>
          <w:sz w:val="22"/>
        </w:rPr>
        <w:t xml:space="preserve">pro rata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560705"/>
                <wp:effectExtent l="0" t="0" r="0" b="0"/>
                <wp:wrapNone/>
                <wp:docPr id="182" name="Frame18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according to the respective outstanding principal amounts of the Loans then held by the Lenders. Amounts prepaid on account of the Loans may not be reborrowed.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[Reserved].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Subject to Section 2.20(a), all payments (including prepayments) to be made by the Borrower hereunder, whether on account of principal, interest, fees or otherwise, shall be made without condition or deduction for any counterclaim, defense, recoupment or setoff and shall be made prior to 1:00 P.M. (New York City time) on the due date thereof to the Administrative Agent, for the account of the Lenders, at the Funding Office, in Dollars and in immediately available funds. The Administrative Agent shall distribute such payments to the Lenders promptly upon receipt in like funds as received. Any payment received by the Administrative Agent after 1:00 P.M. (New York City time) shall be deemed received on the next succeeding Business Day and any applicable interest or fee shall continue to accrue. If any payment hereunder (other than payments on the SOFR Loans) becomes due and payable on a day other than a Business Day, such payment shall be extended to the next succeeding Business Day. If any payment on a SOFR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(e)    Unless the Administrative Agent shall have been notified in writing by any Lender prior to the proposed date of any borrowing that such Lender will not make the amount that would constitute its share of such borrowing available to the Administrative Agent, the Administrative Agent may assume that such Lender has made such amount available to the Administrative Agent on such date in accordance with Section 2, and the Administrative Agent may, in reliance upon such assumption, make available to the Borrower a corresponding amount. If such amount is not in fact made available to the Administrative Agent by the required time on the Borrowing Date therefor, such Lender and the Borrower severally agree to pay to the Administrative Agent forthwith, on demand, such corresponding amount with interest thereon, for each day from and including the date on which such amount is made available to the Borrower but excluding the date of payment to the Administrative Agent, at (i) in the case of a payment to be made by such Lender, a rate equal to the greater of (A) the Federal Funds Effective Rate and (B) a rate determined by the Administrative Agent in accordance with banking industry rules on interbank compensation, and (ii) in the case of a payment to be made by the Borrower, the rate </w:t>
      </w:r>
      <w:r>
        <w:rPr>
          <w:rFonts w:ascii="Times New Roman;sans-serif" w:hAnsi="Times New Roman;sans-serif"/>
          <w:b w:val="false"/>
          <w:i/>
          <w:color w:val="000000"/>
          <w:sz w:val="22"/>
        </w:rPr>
        <w:t>per annum</w:t>
      </w:r>
      <w:r>
        <w:rPr>
          <w:color w:val="000000"/>
        </w:rPr>
        <w:t xml:space="preserve"> </w:t>
      </w:r>
      <w:r>
        <w:rPr>
          <w:rFonts w:ascii="Times New Roman;sans-serif" w:hAnsi="Times New Roman;sans-serif"/>
          <w:b w:val="false"/>
          <w:color w:val="000000"/>
          <w:sz w:val="22"/>
        </w:rPr>
        <w:t>applicable to ABR Loans under the relevant Facility.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their respective pro rata shares of the amount due. In such event, if the Borrower has not in fact made such payment, then each of the Lenders severally agrees to repay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560705"/>
                <wp:effectExtent l="0" t="0" r="0" b="0"/>
                <wp:wrapNone/>
                <wp:docPr id="183" name="Frame18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Nothing herein shall be deemed to limit the rights of Administrative Agent or any Lender against the Borrower.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    If any Lender makes available to the Administrative Agent funds for any Loan to be made by such Lender as provided in the foregoing provisions of this Section 2, and such funds are not made available to the Borrower by the Administrative Agent because the conditions to the applicable extension of credit set forth in Section 5.1 or Section 5.2 are not satisfied or waived in accordance with the terms hereof, the Administrative Agent shall return such funds (in like funds as received from such Lender) to such Lender, without interest.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The obligations of the Lenders hereunder to (i) make Loans and (ii) make payments pursuant to Section 9.7, as applicable, are several and not joint. The failure of any Lender to make any such Loan, to fund any such participation or to make any such payment under Section 9.7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9.7.</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(j)    If at any time insufficient funds are received by and available to the Administrative Agent to pay fully all amounts of principal, interest and fees then due hereunder, such funds shall be applied (i) first, toward payment of interest, fees, and Overadvances then due hereunder, ratably among the parties entitled thereto in accordance with the amounts of interest, fees, and Overadvances then due to such parties, and (ii) second, toward payment of principal then due hereunder, ratably among the parties entitled thereto in accordance with the amounts of principal then due to such parties.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(k)    If any Lender shall obtain any payment (whether voluntary, involuntary, through the exercise of any right of set-off, or otherwise) on account of the principal of or interest on any Loan made by it, or other obligations hereunder, as applicable (other than pursuant to a provision hereof providing for non-pro rata treatment), in excess of its Term Percentage, of such payment on account of the Loans or participations obtained by all of the Lenders, such Lender shall (a) notify the Administrative Agent of the receipt of such payment, and (b) within five (5) Business Days of such receipt purchase (for cash at face value) from the other Lenders (through the Administrative Agent), without recourse, such participations in the Loans, or make such other adjustments as shall be equitable, as shall be necessary to cause such purchasing Lender to share the excess payment ratably with each of the other Lenders in accordance with their respective Term Percentages;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or sale of a participation in any of its Loans to any assignee or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560705"/>
                <wp:effectExtent l="0" t="0" r="0" b="0"/>
                <wp:wrapNone/>
                <wp:docPr id="184" name="Frame18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participant, other than to the Borrower or any of its Affiliates (as to which the provisions of this paragraph shall apply). The Borrower agrees that any Lender so purchasing a participation from another Lender pursuant to this Section 2.18(k) may exercise all its rights of payment (including the right of set-off) with respect to such participation as fully as if such Lender were the direct creditor of the Borrower in the amount of such participation. No documentation other than notices and the like referred to in this Section 2.18(k) shall be required to implement the terms of this Section 2.18(k). The Administrative Agent shall keep records (which shall be conclusive and binding in the absence of manifest error) of participations purchased pursuant to this Section 2.18(k) and shall in each case notify the Lenders following any such purchase. The provisions of this Section 2.18(k) shall not be construed to apply to (i) any payment made by or on behalf of the Borrower pursuant to and in accordance with the express terms of this Agreement (including the application of funds arising from the existence of a Defaulting Lender), (ii) [reserved], or (iii) any payment obtained by a Lender as consideration for the assignment of or sale of a participation in any of its to any assignee or participant, other than an assignment to the Borrower or any of its Affiliates (as to which the provisions of this Section shall apply). The Borrower consents on behalf of itself and each other Loan Party to the foregoing and agrees, to the extent it may effectively do so under applicable law, that any Lender acquiring a participation pursuant to the foregoing arrangements with respect to an Obligation of the Borrower may exercise against each Loan Party rights of setoff and counterclaim with respect to such participation as fully as if such Lender were a direct creditor of each Loan Party in the amount of such participation.</w:t>
      </w:r>
    </w:p>
    <w:p>
      <w:pPr>
        <w:pStyle w:val="TextBody"/>
        <w:bidi w:val="0"/>
        <w:spacing w:lineRule="auto" w:line="288" w:before="0" w:after="240"/>
        <w:ind w:left="0" w:right="0" w:firstLine="720"/>
        <w:jc w:val="both"/>
        <w:rPr/>
      </w:pPr>
      <w:r>
        <w:rPr>
          <w:rFonts w:ascii="Times New Roman;sans-serif" w:hAnsi="Times New Roman;sans-serif"/>
          <w:b/>
          <w:color w:val="000000"/>
          <w:sz w:val="22"/>
        </w:rPr>
        <w:t>2.19    Illegality; Requirements of Law</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Illegality</w:t>
      </w:r>
      <w:r>
        <w:rPr>
          <w:rFonts w:ascii="Times New Roman;sans-serif" w:hAnsi="Times New Roman;sans-serif"/>
          <w:b w:val="false"/>
          <w:color w:val="000000"/>
          <w:sz w:val="22"/>
        </w:rPr>
        <w:t>. If any Lender determines that any Requirement of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the Lenders to make or maintain SOFR Loans, and any right of the Borrower to continue SOFR Loans or to convert ABR Loans to SOFR Loans, shall be suspended, and (b) the interest rate on which ABR Loans shall, if necessary to avoid such illegality, be determined by the Administrative Agent without reference to clause (c) of the definition of “ABR”, in each case until such Lender notifies the Administrative Agent and the Borrower that the circumstances giving rise to such determination no longer exist. Upon receipt of such notice, (i) the Borrower shall, if necessary to avoid such illegality, upon demand from any Lender (with a copy to the Administrative Agent), convert all SOFR Loans to ABR Loans (the interest rate on which ABR Loans of such Lender shall, if necessary to avoid such illegality, be determined by the Administrative Agent without reference to clause (c) of the definition of “ABR”), on the last day of the Interest Period therefor, if all affected Lenders may lawfully continue to maintain such Loans to such day, or immediately, if any such Lender may not lawfully continue to maintain such Loans to such day, and (ii) if necessary to avoid such illegality, the Administrative Agent shall during the period of such suspension compute the ABR without reference to clause (c) of the definition of “ABR” in each case until the Administrative Agent is advised in writing by each affected Lender that it is no longer illegal for such Lender to determine or charge interest rates based upon SOFR or Term SOFR. Upon any conversion, the Borrower shall also pay accrued interest on the amount so converted.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Requirements of Law</w:t>
      </w:r>
      <w:r>
        <w:rPr>
          <w:rFonts w:ascii="Times New Roman;sans-serif" w:hAnsi="Times New Roman;sans-serif"/>
          <w:b w:val="false"/>
          <w:color w:val="000000"/>
          <w:sz w:val="22"/>
        </w:rPr>
        <w:t>. If the adoption of or any change in any Requirement of Law or in the administration, interpretation, implementation or application thereof by any Governmental Authority, or the making or issuance of any rule, guideline or directive by any Governmental Authority made subsequent to the date hereof:</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560705"/>
                <wp:effectExtent l="0" t="0" r="0" b="0"/>
                <wp:wrapNone/>
                <wp:docPr id="185" name="Frame18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shall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    shall impose, modify or deem applicable any reserve, special deposit, compulsory loan, insurance charge or similar requirement against assets of, deposits with or for the account of or credit extended or participated in by, any Lender; or</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(iii)    impose on any Lender any other condition, cost or expense (other than Taxes) affecting this Agreement or Loans made by such Lender;</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the result of any of the foregoing shall be to increase the cost to such Lender or such other Recipient of making, converting to, continuing or maintaining Loans determined with reference to Term SOFR or of maintaining its obligation to make such Loans, or to reduce the amount of any sum receivable or received by such Lender or other Recipient hereunder in respect thereof (whether of principal, interest or any other amount), then, in any such case, upon the request of such Lender or other Recipient, the Borrower will promptly pay such Lender or other Recipient, as the case may be, any additional amount or amounts necessary to compensate such Lender or other Recipient, as the case may be, for such additional costs incurred or reduction suffered. If any Lender becomes entitled to claim any additional amounts pursuant to this paragraph, it shall promptly notify the Borrower (with a copy to the Administrative Agent) of the event by reason of which it has become so entitled.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If any Lender determines that any change in any Requirement of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such Requirement of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For purposes of this Agreement,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(i) and (ii) be deemed to be a change in any Requirement of Law, regardless of the date enacted, adopted or issued.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    A certificate as to any additional amounts payable pursuant to paragraphs (b), (c), or (d) of this Section submitted by any Lender to the Borrower (with a copy to the Administrative Agent), including in reasonable detail a description of the basis for such claim and an explanation of how such amounts were determined, shall be conclusive in the absence of manifest error. The Borrower shall pay such Lender the amount shown as due on any such certificate within 10 days after receipt thereof. Failure or delay on the part of any Lender to demand compensation pursuant to this Section shall not constitute a waiver of such Lender’s right to demand such compensation. Notwithstanding anything to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560705"/>
                <wp:effectExtent l="0" t="0" r="0" b="0"/>
                <wp:wrapNone/>
                <wp:docPr id="186" name="Frame18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the contrary in this Section 2.19, the Borrower shall not be required to compensate a Lender pursuant to this Section 2.19 for any amounts incurred or reductions suffered more than nine months prior to the date that such Lender notifies the Borrower of the change in the Requirement of Law giving rise to such increased costs or reductions, and of such Lender’s intention to claim compensation therefor;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if the circumstances giving rise to such claim have a retroactive effect, then such nine-month period shall be extended to include the period of such retroactive effect. The obligations of the Borrower arising pursuant to this Section 2.19 shall survive the Discharge of Obligations and the resignation of the Administrative Agent.</w:t>
      </w:r>
    </w:p>
    <w:p>
      <w:pPr>
        <w:pStyle w:val="TextBody"/>
        <w:bidi w:val="0"/>
        <w:spacing w:lineRule="auto" w:line="288" w:before="0" w:after="240"/>
        <w:ind w:left="0" w:right="0" w:firstLine="720"/>
        <w:jc w:val="both"/>
        <w:rPr/>
      </w:pPr>
      <w:r>
        <w:rPr>
          <w:rFonts w:ascii="Times New Roman;sans-serif" w:hAnsi="Times New Roman;sans-serif"/>
          <w:b/>
          <w:color w:val="000000"/>
          <w:sz w:val="22"/>
        </w:rPr>
        <w:t>2.20    Taxes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Section 2.20, the term “applicable law” includes FATCA.</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Payments Free of Taxes</w:t>
      </w:r>
      <w:r>
        <w:rPr>
          <w:rFonts w:ascii="Times New Roman;sans-serif" w:hAnsi="Times New Roman;sans-serif"/>
          <w:b w:val="false"/>
          <w:color w:val="000000"/>
          <w:sz w:val="22"/>
        </w:rPr>
        <w:t>. Any and all payments by or on account of any obligation of any Loan Party under any Loan Document shall be made without deduction or withholding for any Taxes, except as required by applicable law. If any applicable law (as reasonably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for Indemnified Tax applicable to additional sums payable under this Section 2.20) the applicable Recipient receives an amount equal to the sum it would have received had no such deduction or withholding for Indemnified Tax been made.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Payment of Other Taxes</w:t>
      </w:r>
      <w:r>
        <w:rPr>
          <w:rFonts w:ascii="Times New Roman;sans-serif" w:hAnsi="Times New Roman;sans-serif"/>
          <w:b w:val="false"/>
          <w:color w:val="000000"/>
          <w:sz w:val="22"/>
        </w:rPr>
        <w:t>. The Borrower shall, and shall cause each other Loan Party to, timely pay to the relevant Governmental Authority in accordance with applicable law, or at the option of the Administrative Agent timely reimburse it for the payment of, any Other Taxes applicable to such Loan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Evidence of Payments</w:t>
      </w:r>
      <w:r>
        <w:rPr>
          <w:rFonts w:ascii="Times New Roman;sans-serif" w:hAnsi="Times New Roman;sans-serif"/>
          <w:b w:val="false"/>
          <w:color w:val="000000"/>
          <w:sz w:val="22"/>
        </w:rPr>
        <w:t>. As soon as practicable after any payment of Taxes by any Loan Party to a Governmental Authority pursuant to this Section 2.20, the Borrower shall, or shall cause such other Loan Party to,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Indemnification by Loan Parties</w:t>
      </w:r>
      <w:r>
        <w:rPr>
          <w:rFonts w:ascii="Times New Roman;sans-serif" w:hAnsi="Times New Roman;sans-serif"/>
          <w:b w:val="false"/>
          <w:color w:val="000000"/>
          <w:sz w:val="22"/>
        </w:rPr>
        <w:t xml:space="preserve">. The Borrower shall, and shall cause each other Loan Party to, jointly and severally indemnify each Recipient, within ten (10) days after written demand therefor, for the full amount of any Indemnified Taxes (including Indemnified Taxes imposed or asserted on or attributable to amounts payable under this Section 2.20(d) (but without duplication of any amounts compensated for by another provision of this Agreement or any other Loan Document)) payable or paid by such Recipient or required to be withheld or deducted from a payment to such Recipient and any reasonable out-of-pocket expenses arising therefrom or with respect thereto (including any recording and filing fees with respect thereto or resulting therefrom and any interest, penalties, or similar liabilities imposed by the applicable Governmental Authority with respect to, or resulting from, any delay in paying such Indemnified Taxes), whether or not such Indemnified Taxes were correctly or legally imposed or asserted by the relevant Governmental Authority. A certificate as to the amount of such payment or liability, including in reasonable detail a description of the basis for such payment or liability and an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60705"/>
                <wp:effectExtent l="0" t="0" r="0" b="0"/>
                <wp:wrapNone/>
                <wp:docPr id="187" name="Frame18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69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explanation of how the amount of such payment or liability was determined, delivered to the Borrower by a Lender (with a copy to the Administrative Agent), or by the Administrative Agent on its own behalf or on behalf of a Lender, shall be conclusive absent manifest error.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Indemnification by Lenders</w:t>
      </w:r>
      <w:r>
        <w:rPr>
          <w:rFonts w:ascii="Times New Roman;sans-serif" w:hAnsi="Times New Roman;sans-serif"/>
          <w:b w:val="false"/>
          <w:color w:val="000000"/>
          <w:sz w:val="22"/>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10.6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2.20(e).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Status of Lenders</w:t>
      </w:r>
      <w:r>
        <w:rPr>
          <w:rFonts w:ascii="Times New Roman;sans-serif" w:hAnsi="Times New Roman;sans-serif"/>
          <w:b w:val="false"/>
          <w:color w:val="000000"/>
          <w:sz w:val="22"/>
        </w:rPr>
        <w:t>.</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Any Lender (including, solely for purposes of this Section 2.20(f), the Administrative Agent)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2.20(f)(ii)(A), (ii)(B), or (ii)(D) below) shall not be required if, in the Lender’s reasonable judgment, such completion, execution or submission would subject such Lender to any material unreimbursed cost or expense, would materially prejudice the legal or commercial position of such Lender.</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    Without limiting the generality of the foregoing, in the event that the Borrower is a U.S. Person,</w:t>
      </w:r>
    </w:p>
    <w:p>
      <w:pPr>
        <w:pStyle w:val="TextBody"/>
        <w:bidi w:val="0"/>
        <w:spacing w:lineRule="auto" w:line="288" w:before="0" w:after="240"/>
        <w:ind w:left="0" w:right="0" w:firstLine="28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copies of properly completed, valid and executed IRS Form W-9 certifying that such Lender is exempt from U.S. federal backup withholding tax; </w:t>
      </w:r>
    </w:p>
    <w:p>
      <w:pPr>
        <w:pStyle w:val="TextBody"/>
        <w:bidi w:val="0"/>
        <w:spacing w:lineRule="auto" w:line="288" w:before="0" w:after="240"/>
        <w:ind w:left="0" w:right="0" w:firstLine="28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any Foreign Lender shall, to the extent it is legally entitled to do so, deliver to the Borrower and the Administrative Agent (in such number of copies as shall be requested by the recipient) on or prior to the date on which such Foreign Lender becomes a Lender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560705"/>
                <wp:effectExtent l="0" t="0" r="0" b="0"/>
                <wp:wrapNone/>
                <wp:docPr id="188" name="Frame18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Agreement (and from time to time thereafter upon the reasonable request of the Borrower or the Administrative Agent), whichever of the following is applicable:</w:t>
      </w:r>
    </w:p>
    <w:p>
      <w:pPr>
        <w:pStyle w:val="TextBody"/>
        <w:bidi w:val="0"/>
        <w:spacing w:lineRule="auto" w:line="288" w:before="0" w:after="240"/>
        <w:ind w:left="0" w:right="0" w:firstLine="3600"/>
        <w:jc w:val="both"/>
        <w:rPr>
          <w:rFonts w:ascii="Times New Roman;sans-serif" w:hAnsi="Times New Roman;sans-serif"/>
          <w:b w:val="false"/>
          <w:color w:val="000000"/>
          <w:sz w:val="22"/>
        </w:rPr>
      </w:pPr>
      <w:r>
        <w:rPr>
          <w:rFonts w:ascii="Times New Roman;sans-serif" w:hAnsi="Times New Roman;sans-serif"/>
          <w:b w:val="false"/>
          <w:color w:val="000000"/>
          <w:sz w:val="22"/>
        </w:rPr>
        <w:t>(1)    in the case of a Foreign Lender claiming the benefits of an income tax treaty to which the United States is a party (x) with respect to payments of interest under any Loan Document, copies of properly completed, valid and executed IRS Form W-8BEN or IRS Form W-8BEN-E, as applicable (or any successor form) establishing an exemption from, or reduction of, U.S. federal withholding Tax pursuant to the “interest” article of such tax treaty and (y) with respect to any other applicable payments under any Loan Document, copies of properly completed, valid and executed IRS Form W-8BEN or IRS Form W-8BEN-E, as applicable (or any successor form) establishing an exemption from, or reduction of, U.S. federal withholding Tax pursuant to the “business profits” or “other income” article of such tax treaty;</w:t>
      </w:r>
    </w:p>
    <w:p>
      <w:pPr>
        <w:pStyle w:val="TextBody"/>
        <w:bidi w:val="0"/>
        <w:spacing w:lineRule="auto" w:line="288" w:before="0" w:after="240"/>
        <w:ind w:left="0" w:right="0" w:firstLine="3600"/>
        <w:jc w:val="both"/>
        <w:rPr>
          <w:rFonts w:ascii="Times New Roman;sans-serif" w:hAnsi="Times New Roman;sans-serif"/>
          <w:b w:val="false"/>
          <w:color w:val="000000"/>
          <w:sz w:val="22"/>
        </w:rPr>
      </w:pPr>
      <w:r>
        <w:rPr>
          <w:rFonts w:ascii="Times New Roman;sans-serif" w:hAnsi="Times New Roman;sans-serif"/>
          <w:b w:val="false"/>
          <w:color w:val="000000"/>
          <w:sz w:val="22"/>
        </w:rPr>
        <w:t>(2)    copies of properly completed, valid and executed IRS Form W-8ECI (or any successor form);</w:t>
      </w:r>
    </w:p>
    <w:p>
      <w:pPr>
        <w:pStyle w:val="TextBody"/>
        <w:bidi w:val="0"/>
        <w:spacing w:lineRule="auto" w:line="288" w:before="0" w:after="240"/>
        <w:ind w:left="0" w:right="0" w:firstLine="3600"/>
        <w:jc w:val="both"/>
        <w:rPr>
          <w:rFonts w:ascii="Times New Roman;sans-serif" w:hAnsi="Times New Roman;sans-serif"/>
          <w:b w:val="false"/>
          <w:color w:val="000000"/>
          <w:sz w:val="22"/>
        </w:rPr>
      </w:pPr>
      <w:r>
        <w:rPr>
          <w:rFonts w:ascii="Times New Roman;sans-serif" w:hAnsi="Times New Roman;sans-serif"/>
          <w:b w:val="false"/>
          <w:color w:val="000000"/>
          <w:sz w:val="22"/>
        </w:rPr>
        <w:t>(3)    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 percent shareholder” of the Borrower within the meaning of Section 881(c)(3)(B) of the Code, or a “controlled foreign corporation” described in Section 881(c)(3)(C) of the Code (a “U.S. Tax Compliance Certificate”) and (y) copies of properly completed, valid and executed IRS Form W-8BEN or IRS Form W-8BEN-E, as applicable (or any successor form); or</w:t>
      </w:r>
    </w:p>
    <w:p>
      <w:pPr>
        <w:pStyle w:val="TextBody"/>
        <w:bidi w:val="0"/>
        <w:spacing w:lineRule="auto" w:line="288" w:before="0" w:after="240"/>
        <w:ind w:left="0" w:right="0" w:firstLine="3600"/>
        <w:jc w:val="both"/>
        <w:rPr/>
      </w:pPr>
      <w:r>
        <w:rPr>
          <w:rFonts w:ascii="Times New Roman;sans-serif" w:hAnsi="Times New Roman;sans-serif"/>
          <w:b w:val="false"/>
          <w:color w:val="000000"/>
          <w:sz w:val="22"/>
        </w:rPr>
        <w:t xml:space="preserve">(4)    to the extent a Foreign Lender is not the beneficial owner, copies of properly completed, valid and executed IRS Form W-8IMY, accompanied by IRS Form W-8ECI, IRS Form W-8BEN or IRS Form W-8BEN-E, as applicable (or any successor form), a U.S. Tax Compliance Certificate substantially in the form of Exhibit F-2 or Exhibit F-3, IRS Form W-9, and/or other certification documents from each beneficial owner, as applicable;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pStyle w:val="TextBody"/>
        <w:bidi w:val="0"/>
        <w:spacing w:lineRule="auto" w:line="288" w:before="0" w:after="240"/>
        <w:ind w:left="0" w:right="0" w:firstLine="2880"/>
        <w:jc w:val="both"/>
        <w:rPr>
          <w:rFonts w:ascii="Times New Roman;sans-serif" w:hAnsi="Times New Roman;sans-serif"/>
          <w:b w:val="false"/>
          <w:color w:val="000000"/>
          <w:sz w:val="22"/>
        </w:rPr>
      </w:pPr>
      <w:r>
        <w:rPr>
          <w:rFonts w:ascii="Times New Roman;sans-serif" w:hAnsi="Times New Roman;sans-serif"/>
          <w:b w:val="false"/>
          <w:color w:val="000000"/>
          <w:sz w:val="22"/>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valid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lineRule="auto" w:line="288" w:before="0" w:after="240"/>
        <w:ind w:left="0" w:right="0" w:firstLine="28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560705"/>
                <wp:effectExtent l="0" t="0" r="0" b="0"/>
                <wp:wrapNone/>
                <wp:docPr id="189" name="Frame18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(iii)    [Reserved],</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    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    [Reserved].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Treatment of Certain Refunds</w:t>
      </w:r>
      <w:r>
        <w:rPr>
          <w:rFonts w:ascii="Times New Roman;sans-serif" w:hAnsi="Times New Roman;sans-serif"/>
          <w:b w:val="false"/>
          <w:color w:val="000000"/>
          <w:sz w:val="22"/>
        </w:rPr>
        <w:t>. If any party determines, in its sole discretion exercised in good faith, that it has received a refund of any Taxes as to which it has been indemnified pursuant to this Section 2.20 (including by the payment of additional amounts pursuant to this Section 2.20),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2.20(h)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any penalties, interest, or other charges imposed by the relevant Governmental Authority) in the event that such indemnified party is required to repay such refund to such Governmental Authority. Notwithstanding anything to the contrary in this Section 2.20(h), in no event will the indemnified party be required to pay any amount to an indemnifying party pursuant to this Section 2.20(h)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Each party’s obligations under this Section 2.20 shall survive the resignation or replacement of the Administrative Agent or any assignment of rights by, or the replacement of, a Lender and the Discharge of Obligations.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2.21    [Reserved]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2"/>
        </w:rPr>
        <w:t>2.22    Change of Lending Office</w:t>
      </w:r>
      <w:r>
        <w:rPr>
          <w:rFonts w:ascii="Times New Roman;sans-serif" w:hAnsi="Times New Roman;sans-serif"/>
          <w:b w:val="false"/>
          <w:color w:val="000000"/>
          <w:sz w:val="22"/>
        </w:rPr>
        <w:t xml:space="preserve">. Each Lender agrees that, upon the occurrence of any event giving rise to the operation of Section 2.19(b), Section 2.19(c), Section 2.20(a) or Section 2.20(d) with respect to such Lender, it shall, if requested by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2.19 or 2.20, as the case may be, in the future, and (ii) would not subject such Lender to any unreimbursed cost or expense and would not otherwise be disadvantageous to such Lender;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nothing in this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560705"/>
                <wp:effectExtent l="0" t="0" r="0" b="0"/>
                <wp:wrapNone/>
                <wp:docPr id="190" name="Frame19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Section shall affect or postpone any of the obligations of the Borrower or the rights of any Lender pursuant to Section 2.19(b), Section 2.19(c), Section 2.20(a), Section 2.20(c) or Section 2.20(d). The Borrower hereby agrees to pay all reasonable and documented costs and expenses incurred by any Lender in connection with any such designation or assignment made at the request of the Borrower.</w:t>
      </w:r>
    </w:p>
    <w:p>
      <w:pPr>
        <w:pStyle w:val="TextBody"/>
        <w:bidi w:val="0"/>
        <w:spacing w:lineRule="auto" w:line="288" w:before="0" w:after="240"/>
        <w:ind w:left="0" w:right="0" w:firstLine="720"/>
        <w:jc w:val="both"/>
        <w:rPr/>
      </w:pPr>
      <w:r>
        <w:rPr>
          <w:rFonts w:ascii="Times New Roman;sans-serif" w:hAnsi="Times New Roman;sans-serif"/>
          <w:b/>
          <w:color w:val="000000"/>
          <w:sz w:val="22"/>
        </w:rPr>
        <w:t>2.23    Substitution of Lenders</w:t>
      </w:r>
      <w:r>
        <w:rPr>
          <w:rFonts w:ascii="Times New Roman;sans-serif" w:hAnsi="Times New Roman;sans-serif"/>
          <w:b w:val="false"/>
          <w:color w:val="000000"/>
          <w:sz w:val="22"/>
        </w:rPr>
        <w:t>. Upon the receipt by the Borrower of any of the following (or in the case of clause (a) below, if the Borrower is required to pay any such amount, regardless of whether the Lender makes a request for such payment), with respect to any Lender (any such Lender described in clauses (a) through (c) below being referred to as an “</w:t>
      </w:r>
      <w:r>
        <w:rPr>
          <w:rFonts w:ascii="Times New Roman;sans-serif" w:hAnsi="Times New Roman;sans-serif"/>
          <w:b/>
          <w:i/>
          <w:color w:val="000000"/>
          <w:sz w:val="22"/>
        </w:rPr>
        <w:t>Affected Lender</w:t>
      </w:r>
      <w:r>
        <w:rPr>
          <w:color w:val="000000"/>
        </w:rPr>
        <w:t xml:space="preserve">” </w:t>
      </w:r>
      <w:r>
        <w:rPr>
          <w:rFonts w:ascii="Times New Roman;sans-serif" w:hAnsi="Times New Roman;sans-serif"/>
          <w:b w:val="false"/>
          <w:color w:val="000000"/>
          <w:sz w:val="22"/>
        </w:rPr>
        <w:t>hereunder):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a request from a Lender for payment of Indemnified Taxes or additional amounts under </w:t>
      </w:r>
      <w:r>
        <w:rPr>
          <w:rFonts w:ascii="Times New Roman;sans-serif" w:hAnsi="Times New Roman;sans-serif"/>
          <w:b w:val="false"/>
          <w:color w:val="000000"/>
          <w:sz w:val="22"/>
          <w:u w:val="single"/>
        </w:rPr>
        <w:t>Section 2.20</w:t>
      </w:r>
      <w:r>
        <w:rPr>
          <w:color w:val="000000"/>
        </w:rPr>
        <w:t xml:space="preserve"> </w:t>
      </w:r>
      <w:r>
        <w:rPr>
          <w:rFonts w:ascii="Times New Roman;sans-serif" w:hAnsi="Times New Roman;sans-serif"/>
          <w:b w:val="false"/>
          <w:color w:val="000000"/>
          <w:sz w:val="22"/>
        </w:rPr>
        <w:t>or of increased costs pursuant to Section 2.19(b) or Section 2.19(c);</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 notice from the Administrative Agent under Section 10.1(b) that one or more Minority Lenders are unwilling to agree to an amendment or other modification approved by the Required Lenders and the Administrative Agent; 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notice from the Administrative Agent that a Lender is a Defaulting Lender or a Non-Consenting Lender;</w:t>
      </w:r>
    </w:p>
    <w:p>
      <w:pPr>
        <w:pStyle w:val="TextBody"/>
        <w:bidi w:val="0"/>
        <w:spacing w:lineRule="auto" w:line="288" w:before="0" w:after="240"/>
        <w:jc w:val="both"/>
        <w:rPr/>
      </w:pPr>
      <w:r>
        <w:rPr>
          <w:rFonts w:ascii="Times New Roman;sans-serif" w:hAnsi="Times New Roman;sans-serif"/>
          <w:b w:val="false"/>
          <w:color w:val="000000"/>
          <w:sz w:val="22"/>
        </w:rPr>
        <w:t>then the Borrower may, at its sole expense and effort, upon notice to the Administrative Agent and such Affected Lender: (i) request that one or more of the other Lenders acquire and assume all or part of such Affected Lender’s Loans, Commitment and all other Obligations owing to such Affected Lender; or (ii) designate a replacement lending institution (which shall be an Eligible Assignee) to acquire and assume all or a ratable part of such Affected Lender’s Loans, Commitment and all other Obligations owing to such Affected Lender (the replacing Lender or lender in (i) or (ii) being a “</w:t>
      </w:r>
      <w:r>
        <w:rPr>
          <w:rFonts w:ascii="Times New Roman;sans-serif" w:hAnsi="Times New Roman;sans-serif"/>
          <w:b/>
          <w:i/>
          <w:color w:val="000000"/>
          <w:sz w:val="22"/>
        </w:rPr>
        <w:t>Replacement Lender</w:t>
      </w:r>
      <w:r>
        <w:rPr>
          <w:color w:val="000000"/>
        </w:rPr>
        <w:t>”</w:t>
      </w:r>
      <w:r>
        <w:rPr>
          <w:rFonts w:ascii="Times New Roman;sans-serif" w:hAnsi="Times New Roman;sans-serif"/>
          <w:b w:val="false"/>
          <w:color w:val="000000"/>
          <w:sz w:val="22"/>
        </w:rPr>
        <w:t xml:space="preserve">). The Affected Lender replaced pursuant to this Section 2.23 shall be required to assign and delegate, without recourse, all of its interests, rights (other than existing rights to payments pursuant to Section 2.19 or Section 2.20) and obligations under this Agreement and the related Loan Documents to one or more Replacement Lenders that so agree to acquire and assume all or a ratable part of such Affected Lender’s Loans, Commitment and all other Obligations owing to such Affected Lender upon payment to such Affected Lender of an amount (in the aggregate for all Replacement Lenders) equal to 100% of the outstanding principal of the Affected Lender’s Loans, accrued interest thereon, accrued fees and all other Obligations payable to it hereunder and under the other Loan Documents from such Replacement Lenders (to the extent of such outstanding principal and accrued interest and fees) or the Borrower (in the case of all other amounts). Any such designation of a Replacement Lender shall be effected in accordance with, and subject to the terms and conditions of, the assignment provisions contained in Section 10.6 (with the assignment fee to be paid by the Borrower in such instance);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if such Affected Lender does not comply with Section 10.6 within three Business Days after the Borrower’s request, compliance with Section 10.6 shall not be required to effect such assignment, and, if such Replacement Lender is not already a Lender hereunder or an Affiliate of a Lender or an Approved Fund, shall be subject to the prior written consent of the Administrative Agent (which consent shall not be unreasonably withheld or delayed). Notwithstanding the foregoing, with respect to any assignment pursuant to this Section 2.23, (a) in the case of any such assignment resulting from a claim for compensation under Section 2.19 or payments required to be made pursuant to Section 2.20, such assignment shall result in a reduction in such compensation or payments thereafter; (b) such assignment shall not conflict with applicable law and (c) in the case of any assignment resulting from a Lender being a (i) Minority Lender referred to in clause (b) of this Section 2.23 or (ii) a Non-Consenting Lender referred to in clause (c) of this Section 2.23, the applicable assignee shall have consented to the applicable amendment, waiver or consent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560705"/>
                <wp:effectExtent l="0" t="0" r="0" b="0"/>
                <wp:wrapNone/>
                <wp:docPr id="191" name="Frame19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Prepayment Premium, if any described in Section 2.9(d)(i) shall be due to such Minority Lender or Non-Consenting Lender. Notwithstanding the foregoing, an Affected Lender shall not be required to make any such assignment or delegation if, prior thereto, as a result of a waiver by such Affected Lender or otherwise, the circumstances entitling the Borrower to require such assignment and delegation cease to apply.</w:t>
      </w:r>
    </w:p>
    <w:p>
      <w:pPr>
        <w:pStyle w:val="TextBody"/>
        <w:bidi w:val="0"/>
        <w:spacing w:lineRule="auto" w:line="288" w:before="0" w:after="240"/>
        <w:ind w:left="0" w:right="0" w:firstLine="720"/>
        <w:jc w:val="both"/>
        <w:rPr/>
      </w:pPr>
      <w:r>
        <w:rPr>
          <w:rFonts w:ascii="Times New Roman;sans-serif" w:hAnsi="Times New Roman;sans-serif"/>
          <w:b/>
          <w:color w:val="000000"/>
          <w:sz w:val="22"/>
        </w:rPr>
        <w:t>2.24    Defaulting Lenders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Defaulting Lender Adjustments</w:t>
      </w:r>
      <w:r>
        <w:rPr>
          <w:rFonts w:ascii="Times New Roman;sans-serif" w:hAnsi="Times New Roman;sans-serif"/>
          <w:b w:val="false"/>
          <w:color w:val="000000"/>
          <w:sz w:val="22"/>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Waivers and Amendments</w:t>
      </w:r>
      <w:r>
        <w:rPr>
          <w:rFonts w:ascii="Times New Roman;sans-serif" w:hAnsi="Times New Roman;sans-serif"/>
          <w:b w:val="false"/>
          <w:color w:val="000000"/>
          <w:sz w:val="22"/>
        </w:rPr>
        <w:t xml:space="preserve">. Such Defaulting Lender’s right to approve or disapprove any amendment, waiver or consent with respect to this Agreement shall be restricted as set forth in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and in the definition of “Required Lenders”.</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(ii)    </w:t>
      </w:r>
      <w:r>
        <w:rPr>
          <w:rFonts w:ascii="Times New Roman;sans-serif" w:hAnsi="Times New Roman;sans-serif"/>
          <w:b w:val="false"/>
          <w:color w:val="000000"/>
          <w:sz w:val="22"/>
          <w:u w:val="single"/>
        </w:rPr>
        <w:t>Defaulting Lender Waterfall</w:t>
      </w:r>
      <w:r>
        <w:rPr>
          <w:rFonts w:ascii="Times New Roman;sans-serif" w:hAnsi="Times New Roman;sans-serif"/>
          <w:b w:val="false"/>
          <w:color w:val="000000"/>
          <w:sz w:val="22"/>
        </w:rPr>
        <w:t xml:space="preserve">. Any payment of principal, interest, fees or other amounts received by the Administrative Agent for the account of such Defaulting Lender (whether voluntary or mandatory, at maturity, pursuant to Section 8 or otherwise, and including any amounts made available to the Administrative Agent by such Defaulting Lender pursuant to Section 10.7), shall be applied at such time or times as may be determined by the Administrative Agent as follows: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to the payment of any amounts owing by such Defaulting Lender to the Administrative Agent hereunder;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xml:space="preserve">, to the payment on a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 xml:space="preserve">basis of any amounts owing by such Defaulting Lender hereunder; </w:t>
      </w: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sans-serif" w:hAnsi="Times New Roman;sans-serif"/>
          <w:b w:val="false"/>
          <w:color w:val="000000"/>
          <w:sz w:val="22"/>
          <w:u w:val="single"/>
        </w:rPr>
        <w:t>fourth</w:t>
      </w:r>
      <w:r>
        <w:rPr>
          <w:rFonts w:ascii="Times New Roman;sans-serif" w:hAnsi="Times New Roman;sans-serif"/>
          <w:b w:val="false"/>
          <w:color w:val="000000"/>
          <w:sz w:val="22"/>
        </w:rPr>
        <w:t xml:space="preserve">, if so determined by the Administrative Agent and the Borrower, to be held in a Deposit Account and released pro rata to satisfy such Defaulting Lender’s potential future funding obligations with respect to Loans under this Agreement; </w:t>
      </w:r>
      <w:r>
        <w:rPr>
          <w:rFonts w:ascii="Times New Roman;sans-serif" w:hAnsi="Times New Roman;sans-serif"/>
          <w:b w:val="false"/>
          <w:color w:val="000000"/>
          <w:sz w:val="22"/>
          <w:u w:val="single"/>
        </w:rPr>
        <w:t>fifth</w:t>
      </w:r>
      <w:r>
        <w:rPr>
          <w:rFonts w:ascii="Times New Roman;sans-serif" w:hAnsi="Times New Roman;sans-serif"/>
          <w:b w:val="false"/>
          <w:color w:val="000000"/>
          <w:sz w:val="22"/>
        </w:rPr>
        <w:t xml:space="preserve">, so long as no Default or Event of Default has occurred and is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sans-serif" w:hAnsi="Times New Roman;sans-serif"/>
          <w:b w:val="false"/>
          <w:color w:val="000000"/>
          <w:sz w:val="22"/>
          <w:u w:val="single"/>
        </w:rPr>
        <w:t>sixth</w:t>
      </w:r>
      <w:r>
        <w:rPr>
          <w:rFonts w:ascii="Times New Roman;sans-serif" w:hAnsi="Times New Roman;sans-serif"/>
          <w:b w:val="false"/>
          <w:color w:val="000000"/>
          <w:sz w:val="22"/>
        </w:rPr>
        <w:t xml:space="preserve">, to such Defaulting Lender or as otherwise directed by a court of competent jurisdiction;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if (A) such payment is a payment of the principal amount of any Loans in respect of which such Defaulting Lender has not fully funded its appropriate share and (B) such Loans were made at a time when the conditions set forth in Section 5.2 were satisfied or waived, such payment shall be applied solely to pay the Loans of all Non-Defaulting Lenders on a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basis prior to being applied to the payment of any Loans of such Defaulting Lender until such time as all Loans and funded and unfunded participations are held by the Lenders pro rata in accordance with the Commitments under the applicable Facility. Any payments, prepayments or other amounts paid or payable to a Defaulting Lender that are applied (or held) to pay amounts owed by a Defaulting Lender pursuant to this Section 2.24(a)(ii) shall be deemed paid to and redirected by such Defaulting Lender, and each Lender irrevocably consents hereto.</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(iii)    </w:t>
      </w:r>
      <w:r>
        <w:rPr>
          <w:rFonts w:ascii="Times New Roman;sans-serif" w:hAnsi="Times New Roman;sans-serif"/>
          <w:b w:val="false"/>
          <w:color w:val="000000"/>
          <w:sz w:val="22"/>
          <w:u w:val="single"/>
        </w:rPr>
        <w:t>Certain Fees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28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No Defaulting Lender shall be entitled to receive any fee pursuant to Section 2.9(b) for any period during which such Lender is a Defaulting Lender (and the Borrower shall not be required to pay any such fee that otherwise would have been required to have been paid to such Defaulting Lender).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560705"/>
                <wp:effectExtent l="0" t="0" r="0" b="0"/>
                <wp:wrapNone/>
                <wp:docPr id="192" name="Frame19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880"/>
        <w:jc w:val="both"/>
        <w:rPr>
          <w:rFonts w:ascii="Times New Roman;sans-serif" w:hAnsi="Times New Roman;sans-serif"/>
          <w:b w:val="false"/>
          <w:color w:val="000000"/>
          <w:sz w:val="22"/>
        </w:rPr>
      </w:pPr>
      <w:r>
        <w:rPr>
          <w:rFonts w:ascii="Times New Roman;sans-serif" w:hAnsi="Times New Roman;sans-serif"/>
          <w:b w:val="false"/>
          <w:color w:val="000000"/>
          <w:sz w:val="22"/>
        </w:rPr>
        <w:t>(B)    [Reserved].</w:t>
      </w:r>
    </w:p>
    <w:p>
      <w:pPr>
        <w:pStyle w:val="TextBody"/>
        <w:bidi w:val="0"/>
        <w:spacing w:lineRule="auto" w:line="288" w:before="0" w:after="240"/>
        <w:ind w:left="0" w:right="0" w:firstLine="2880"/>
        <w:jc w:val="both"/>
        <w:rPr>
          <w:rFonts w:ascii="Times New Roman;sans-serif" w:hAnsi="Times New Roman;sans-serif"/>
          <w:b w:val="false"/>
          <w:color w:val="000000"/>
          <w:sz w:val="22"/>
        </w:rPr>
      </w:pPr>
      <w:r>
        <w:rPr>
          <w:rFonts w:ascii="Times New Roman;sans-serif" w:hAnsi="Times New Roman;sans-serif"/>
          <w:b w:val="false"/>
          <w:color w:val="000000"/>
          <w:sz w:val="22"/>
        </w:rPr>
        <w:t>(C)    [Reserved].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Defaulting Lender Cure</w:t>
      </w:r>
      <w:r>
        <w:rPr>
          <w:rFonts w:ascii="Times New Roman;sans-serif" w:hAnsi="Times New Roman;sans-serif"/>
          <w:b w:val="false"/>
          <w:color w:val="000000"/>
          <w:sz w:val="22"/>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such Lender will, to the extent applicable, purchase at par that portion of outstanding Loans of the other Lenders or take such other actions as the Administrative Agent may determine to be necessary to cause the Loans to be held on a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 xml:space="preserve">basis by the Lenders in accordance with their respective Term Percentages, whereupon such Lender will cease to be a Defaulting Lender;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no adjustments will be made retroactively with respect to fees accrued or payments made by or on behalf of otherwise expressly agreed by the affected parties, no change hereunder from Defaulting Lender to Lender will constitute a waiver or release of any claim of any party hereunder arising from such Lender having been a Defaulting Lender. </w:t>
      </w:r>
    </w:p>
    <w:p>
      <w:pPr>
        <w:pStyle w:val="TextBody"/>
        <w:bidi w:val="0"/>
        <w:spacing w:lineRule="auto" w:line="288" w:before="0" w:after="240"/>
        <w:ind w:left="0" w:right="0" w:firstLine="720"/>
        <w:jc w:val="both"/>
        <w:rPr/>
      </w:pPr>
      <w:r>
        <w:rPr>
          <w:rFonts w:ascii="Times New Roman;sans-serif" w:hAnsi="Times New Roman;sans-serif"/>
          <w:b/>
          <w:color w:val="000000"/>
          <w:sz w:val="22"/>
        </w:rPr>
        <w:t>2.25    [Reserved]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2.26    Notes</w:t>
      </w:r>
      <w:r>
        <w:rPr>
          <w:rFonts w:ascii="Times New Roman;sans-serif" w:hAnsi="Times New Roman;sans-serif"/>
          <w:b w:val="false"/>
          <w:color w:val="000000"/>
          <w:sz w:val="22"/>
        </w:rPr>
        <w:t xml:space="preserve">. If so requested by any Lender by written notice to the Borrower (with a copy to the Administrative Agent), the Borrower shall execute and deliver to such Lender (and/or, if applicable and if so specified in such notice, to any Person who is an assignee of such Lender pursuant to </w:t>
      </w:r>
      <w:r>
        <w:rPr>
          <w:rFonts w:ascii="Times New Roman;sans-serif" w:hAnsi="Times New Roman;sans-serif"/>
          <w:b w:val="false"/>
          <w:color w:val="000000"/>
          <w:sz w:val="22"/>
          <w:u w:val="single"/>
        </w:rPr>
        <w:t>Section 10.6</w:t>
      </w:r>
      <w:r>
        <w:rPr>
          <w:rFonts w:ascii="Times New Roman;sans-serif" w:hAnsi="Times New Roman;sans-serif"/>
          <w:b w:val="false"/>
          <w:color w:val="000000"/>
          <w:sz w:val="22"/>
        </w:rPr>
        <w:t>) (as soon as reasonably practicable after the Borrower’s receipt of such notice) a Note or Notes to evidence such Lender’s Loans (including Initial Loans, Delayed Draw Loans and Incremental Loans).</w:t>
      </w:r>
    </w:p>
    <w:p>
      <w:pPr>
        <w:pStyle w:val="TextBody"/>
        <w:bidi w:val="0"/>
        <w:spacing w:lineRule="auto" w:line="288" w:before="0" w:after="240"/>
        <w:ind w:left="0" w:right="0" w:firstLine="720"/>
        <w:jc w:val="both"/>
        <w:rPr/>
      </w:pPr>
      <w:r>
        <w:rPr>
          <w:rFonts w:ascii="Times New Roman;sans-serif" w:hAnsi="Times New Roman;sans-serif"/>
          <w:b/>
          <w:color w:val="000000"/>
          <w:sz w:val="22"/>
        </w:rPr>
        <w:t>2.27    Incremental Facility</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The Borrower may request (but subject, in each case, to the conditions set forth in clause (b) below and the other terms set forth in this Section 2.27) the Lenders establish commitments (“</w:t>
      </w:r>
      <w:r>
        <w:rPr>
          <w:rFonts w:ascii="Times New Roman;sans-serif" w:hAnsi="Times New Roman;sans-serif"/>
          <w:b/>
          <w:i/>
          <w:color w:val="000000"/>
          <w:sz w:val="22"/>
        </w:rPr>
        <w:t>Incremental Commitments</w:t>
      </w:r>
      <w:r>
        <w:rPr>
          <w:color w:val="000000"/>
        </w:rPr>
        <w:t>”</w:t>
      </w:r>
      <w:r>
        <w:rPr>
          <w:rFonts w:ascii="Times New Roman;sans-serif" w:hAnsi="Times New Roman;sans-serif"/>
          <w:b w:val="false"/>
          <w:color w:val="000000"/>
          <w:sz w:val="22"/>
        </w:rPr>
        <w:t>) to make an incremental term loan facility including term loan facilities in the form of commitments to make delayed draw term loans, in an aggregate principal amount not to exceed the Available Incremental Amount (each such facility, an “</w:t>
      </w:r>
      <w:r>
        <w:rPr>
          <w:rFonts w:ascii="Times New Roman;sans-serif" w:hAnsi="Times New Roman;sans-serif"/>
          <w:b/>
          <w:i/>
          <w:color w:val="000000"/>
          <w:sz w:val="22"/>
        </w:rPr>
        <w:t>Incremental Facility</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prior to the Delayed Draw Termination Date, the Borrower shall have first either (x) drawn the Delayed Draw Commitments in full or (y) terminated all unused Delayed Draw Commitments before requesting an Incremental Facility. No Lender shall be obligated to participate in an Incremental Facility. Any Incremental Facility shall be in an amount of at least $10,000,000 (or, if the Available Incremental Amount is less than $10,000,000, such remaining Available Incremental Amount) and integral multiples of $1,000,000 in excess thereof. Additionally, for the avoidance of doubt, it is understood and agreed that in no event shall the aggregate amount of Incremental Facilities exceed the Available Incremental Amount during the term of the Agreement.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Each of the following shall be conditions precedent to the effectiveness of any Incremental Facility: </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the Borrower shall have delivered an irrevocable written request to the Administrative Agent for such Incremental Facility at least fifteen (15) Business Days prior to the requested effective date of such Incremental Facility (or such shorter period as agreed to by the Administrative Agent), and promptly after receipt thereof, the Administrative Agent shall invite each existing Lender to provide the Incremental Facility ratably in accordance with its Aggregate Exposure Percentage of each requested Incremental Facility (it being agreed that no Lender shall be obligated to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560705"/>
                <wp:effectExtent l="0" t="0" r="0" b="0"/>
                <wp:wrapNone/>
                <wp:docPr id="193" name="Frame19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provide an Incremental Facility unless it elects to do so in its sole discretion and that any Lender may elect to participate in such Incremental Facility in an amount that is less than its Aggregate Exposure Percentage of such requested Incremental Facility or more than its Aggregate Exposure Percentage of such requested Incremental Facility if other Lenders have elected not to participate in any applicable requested Incremental Facility in accordance with their Aggregate Exposure Percentages) and to the extent fifteen (15) Business Days after receipt of invitation, sufficient Lenders do not agree to provide the Incremental Facility on terms acceptable to the Borrower, then the Borrower may invite any additional bank, financial institution and other institutional lenders or investors, subject to the consent of the Administrative Agent (such consent not to be unreasonably withheld, conditioned or delayed), to become an Incremental Lender in connection with the proposed Incremental Facility under terms no more favorable (taken as a whole) to such other lenders and investors than those initially offered to each existing Lender;</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(ii)    each Lender agreeing to participate in any such Incremental Facility, the Borrower and the Administrative Agent shall have signed an Incremental Joinder. In addition, with the consent of the Administrative Agent, the Borrower and the Lenders agreeing to such Incremental Facility, may amend this Agreement (without the consent of any other Person) in order to effect such amendments to this Agreement and the other Loan Documents as may be necessary or appropriate to effectuate the provisions of this Section 2.27 (any such amendment, an “</w:t>
      </w:r>
      <w:r>
        <w:rPr>
          <w:rFonts w:ascii="Times New Roman;sans-serif" w:hAnsi="Times New Roman;sans-serif"/>
          <w:b/>
          <w:i/>
          <w:color w:val="000000"/>
          <w:sz w:val="22"/>
        </w:rPr>
        <w:t>Incremental Amendment</w:t>
      </w:r>
      <w:r>
        <w:rPr>
          <w:color w:val="000000"/>
        </w:rPr>
        <w:t>”</w:t>
      </w:r>
      <w:r>
        <w:rPr>
          <w:rFonts w:ascii="Times New Roman;sans-serif" w:hAnsi="Times New Roman;sans-serif"/>
          <w:b w:val="false"/>
          <w:color w:val="000000"/>
          <w:sz w:val="22"/>
        </w:rPr>
        <w:t xml:space="preserve">) and the Borrower shall have executed any Notes requested by any Lender in connection with the incurrence of the Incremental Facility. Notwithstanding anything to the contrary in this Agreement or in any other Loan Document, an Incremental Amendment reasonably satisfactory to the Administrative Agent, and the amendments to this Agreement effected thereby, shall not require the consent of any Lender other than the Lender(s) agreeing to fund such Incremental Facility; </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 xml:space="preserve">(iii)    subject to the provisions of Section 1.5 to the extent an LCA Election has been made with respect to any Permitted Acquisition corresponding to the incurrence of such Incremental Facility, each of the conditions precedent set forth in Section 5.2(a) and (c) are satisfied;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to the extent agreed to by the Lenders providing any such Incremental Facility, the condition set forth in Section 5.2(a) may be satisfied with (x) the accuracy of customary “specified representations” and “acquisition agreement representations” and (y) such other limitations or exceptions to representations and warranties as may be agreed by the lenders providing such Incremental Facility; </w:t>
      </w:r>
      <w:r>
        <w:rPr>
          <w:rFonts w:ascii="Times New Roman;sans-serif" w:hAnsi="Times New Roman;sans-serif"/>
          <w:b w:val="false"/>
          <w:i/>
          <w:color w:val="000000"/>
          <w:sz w:val="22"/>
        </w:rPr>
        <w:t>provided further</w:t>
      </w:r>
      <w:r>
        <w:rPr>
          <w:color w:val="000000"/>
        </w:rPr>
        <w:t xml:space="preserve"> </w:t>
      </w:r>
      <w:r>
        <w:rPr>
          <w:rFonts w:ascii="Times New Roman;sans-serif" w:hAnsi="Times New Roman;sans-serif"/>
          <w:b w:val="false"/>
          <w:color w:val="000000"/>
          <w:sz w:val="22"/>
        </w:rPr>
        <w:t>that the condition set forth in Section 5.2(c) may be satisfied, if agreed by the lenders providing such Incremental Facility, so long as no Default or Event of Default pursuant to Section 8.1(a) or (f) has occurred or is continuing;</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 xml:space="preserve">(iv)    after giving </w:t>
      </w:r>
      <w:r>
        <w:rPr>
          <w:rFonts w:ascii="Times New Roman;sans-serif" w:hAnsi="Times New Roman;sans-serif"/>
          <w:b w:val="false"/>
          <w:i/>
          <w:color w:val="000000"/>
          <w:sz w:val="22"/>
        </w:rPr>
        <w:t>pro forma</w:t>
      </w:r>
      <w:r>
        <w:rPr>
          <w:color w:val="000000"/>
        </w:rPr>
        <w:t xml:space="preserve"> </w:t>
      </w:r>
      <w:r>
        <w:rPr>
          <w:rFonts w:ascii="Times New Roman;sans-serif" w:hAnsi="Times New Roman;sans-serif"/>
          <w:b w:val="false"/>
          <w:color w:val="000000"/>
          <w:sz w:val="22"/>
        </w:rPr>
        <w:t>effect to such Incremental Facility and the use of proceeds thereof for such Incremental Facility, (A) the Consolidated First Lien Net Leverage Ratio shall not exceed 4.00 to 1.00 and (B) the ARR Total Leverage Ratio shall not exceed 0.665:1.00, in each case, calculated on a Pro Forma Basis as of the end of the most recent Test Period (assuming, in each case, that (x) in the case of any Incremental Facility being incurred at such time in the form of commitments to make delayed draw term loans, assuming such delayed draw term loans were fully drawn, and (y) the proceeds of any such Incremental Facility incurred at such time shall not be netted from the Consolidated First Lien Net Leverage Ratio);</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    the terms and conditions with respect to any such Incremental Loan shall be determined by the Borrower and the Lenders thereunder, but shall not be, except to the extent permitted by Section 2.27(b)(ix) below, materially more favorable (taken as a whole) to the Lenders of such Incremental Loans than the existing terms and conditions in this Agreement and the other Loan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560705"/>
                <wp:effectExtent l="0" t="0" r="0" b="0"/>
                <wp:wrapNone/>
                <wp:docPr id="194" name="Frame19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Documents (taken as a whole) that apply to the Lenders of the then outstanding Loans (unless such existing terms and conditions contained in this Agreement and the other Loan Documents are amended so as to conform to the materially more favorable terms and conditions that apply to the Lenders of the Incremental Loans or are otherwise reasonably satisfactory to the Administrative Agent);</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(vi)    (A) subject to Section 2.27(b)(ix) below, any pricing (including, for the avoidance of doubt, any call protection or prepayment premiums, interest rate margins, original issue discount or upfront fees (if any) and interest rate floors (if any)), (B) subject to Section 2.27(b)(vii) below, maturity, and (C) subject to Section 2.27(b)(vii) below, any amortization schedule applicable to any Incremental Facility shall, in each case of clauses (A) through (C), be determined by the Borrower and the Lenders thereunder;</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 xml:space="preserve">(vii)    (A) any Incremental Facility providing for a separate tranche of Loans may provide for the ability to participate on a pro rata basis or less than pro rata basis (but not on a greater than pro rata basis) in any mandatory prepayments of the Loans, and, in any case, (B) no Incremental Loan shall have a final maturity date earlier (but may be later) than the Maturity Date, (C) the amortization schedule of any Incremental Loan shall not have a weighted average life to maturity shorter than the remaining weighted average life to maturity of the Loans made on the Closing Date and (D) the Borrower at its election with the consent of the Administrative Agent, and without requiring the consent of any Lender, may effect such amendments to the Loan Documents with respect to Incremental Loans as may be reasonably necessary so that such Incremental Loans and the applicable existing Loans form the same class of Loans or so that such Incremental Loans are fungible with any other outstanding Loans, including by amending the schedule of amortization payments relating to any existing tranche of Loans;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any such amendments will not decrease any amortization payment to any Lender that would have otherwise been payable to such Lender immediately prior to the effectiveness of such applicable amendments; </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 xml:space="preserve">(viii)    any Incremental Loan shall rank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(x) in right of payment of the Loans and (y) in right of security in respect of the Collateral. No Incremental Facility will be guaranteed by any Person other than a Guarantor hereunder or secured by any property or assets other than the Collateral;</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(ix)    the all-in yield (based on the interest rate and original issue discount, closing and upfront fees, initial commitment fees and similar fees, if any, but excluding customary arrangement, structuring, underwriting and amendment fees (“</w:t>
      </w:r>
      <w:r>
        <w:rPr>
          <w:rFonts w:ascii="Times New Roman;sans-serif" w:hAnsi="Times New Roman;sans-serif"/>
          <w:b/>
          <w:i/>
          <w:color w:val="000000"/>
          <w:sz w:val="22"/>
        </w:rPr>
        <w:t>All-In Yield</w:t>
      </w:r>
      <w:r>
        <w:rPr>
          <w:color w:val="000000"/>
        </w:rPr>
        <w:t>”</w:t>
      </w:r>
      <w:r>
        <w:rPr>
          <w:rFonts w:ascii="Times New Roman;sans-serif" w:hAnsi="Times New Roman;sans-serif"/>
          <w:b w:val="false"/>
          <w:color w:val="000000"/>
          <w:sz w:val="22"/>
        </w:rPr>
        <w:t xml:space="preserve">)) applicable to any Incremental Facility shall not be more than 0.50% </w:t>
      </w:r>
      <w:r>
        <w:rPr>
          <w:rFonts w:ascii="Times New Roman;sans-serif" w:hAnsi="Times New Roman;sans-serif"/>
          <w:b w:val="false"/>
          <w:i/>
          <w:color w:val="000000"/>
          <w:sz w:val="22"/>
        </w:rPr>
        <w:t>per annum</w:t>
      </w:r>
      <w:r>
        <w:rPr>
          <w:color w:val="000000"/>
        </w:rPr>
        <w:t xml:space="preserve"> </w:t>
      </w:r>
      <w:r>
        <w:rPr>
          <w:rFonts w:ascii="Times New Roman;sans-serif" w:hAnsi="Times New Roman;sans-serif"/>
          <w:b w:val="false"/>
          <w:color w:val="000000"/>
          <w:sz w:val="22"/>
        </w:rPr>
        <w:t xml:space="preserve">higher than the All-In Yield with respect to the then existing Loans under the Closing Date Facilities unless the Applicable Margin with respect to such existing Loans under the Closing Date Facilities is increased by an amount equal to the difference between the All-In Yield with respect to such Incremental Facility and the All-In Yield applicable to the then existing Loans under the Closing Date Facilities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 xml:space="preserve">0.50% </w:t>
      </w:r>
      <w:r>
        <w:rPr>
          <w:rFonts w:ascii="Times New Roman;sans-serif" w:hAnsi="Times New Roman;sans-serif"/>
          <w:b w:val="false"/>
          <w:i/>
          <w:color w:val="000000"/>
          <w:sz w:val="22"/>
        </w:rPr>
        <w:t>per annum</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 xml:space="preserve">(x)     any “most favored nation” pricing provision with respect to the Incremental Loans shall be determined by the Borrower and the Incremental Lenders providing such Incremental Loans;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no such “most favored nation” pricing provision shall be more favorable to the applicable Incremental Lenders than that contained in clause (ix) of this Section 2.27(b);</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(xi)    the Borrower shall have paid all fees and expenses in connection with the exercise of the applicable Incremental Facility;</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560705"/>
                <wp:effectExtent l="0" t="0" r="0" b="0"/>
                <wp:wrapNone/>
                <wp:docPr id="195" name="Frame19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(xii)    all Incremental Loans shall be denominated in Dollars; and</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(xiii)    each Lender making the Incremental Loans shall have received the approval of such Lender’s investment committee approval (in such investment committee’s sole discretion) with respect thereto.</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Upon the effectiveness of any Incremental Facility, all references in this Agreement and any other Loan Document to the Loans and/or Lenders shall be deemed, unless the context otherwise requires, to include the term loans incurred pursuant to such Incremental Facility and the lenders thereunder.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The Incremental Facilities established pursuant to this Section 2.27 shall be entitled to all the benefits afforded by this Agreement and the other Loan Documents, and shall, without limiting the foregoing, benefit equally and ratably from any guarantees and the security interests created by the Loan Documents. The Loan Parties shall take any actions reasonably required by Administrative Agent to ensure and demonstrate that the Liens and security interests granted under the Loan Documents continue to be perfected under the UCC or otherwise after giving effect to the establishment of any such Incremental Facility, which actions may include reaffirming Liens and entering into supplements, amendments, restatements or replacements of the Security Documents and executing and delivering all documents, instruments and legal opinions in connection therewith reasonably requested by the Administrative Agent.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Section 2.27 supersedes any provisions in Section 10.1 to the contrary (other than amendments of provisions that are described in Section 10.1(a), which shall be governed by Section 10.1).</w:t>
      </w:r>
    </w:p>
    <w:p>
      <w:pPr>
        <w:pStyle w:val="TextBody"/>
        <w:bidi w:val="0"/>
        <w:spacing w:lineRule="auto" w:line="288" w:before="0" w:after="240"/>
        <w:ind w:left="0" w:right="0" w:firstLine="720"/>
        <w:jc w:val="both"/>
        <w:rPr/>
      </w:pPr>
      <w:r>
        <w:rPr>
          <w:rFonts w:ascii="Times New Roman;sans-serif" w:hAnsi="Times New Roman;sans-serif"/>
          <w:b/>
          <w:color w:val="000000"/>
          <w:sz w:val="22"/>
        </w:rPr>
        <w:t>2.28    Credit Agreement Refinancing Indebtedness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Refinancing Loans</w:t>
      </w:r>
      <w:r>
        <w:rPr>
          <w:rFonts w:ascii="Times New Roman;sans-serif" w:hAnsi="Times New Roman;sans-serif"/>
          <w:b w:val="false"/>
          <w:color w:val="000000"/>
          <w:sz w:val="22"/>
        </w:rPr>
        <w:t>. At any time after the Closing Date, the Borrower may obtain (i) from any Lender or any prospective lender Credit Agreement Refinancing Indebtedness in the form of Refinancing Loans or Refinancing Commitments, in each case pursuant to a Refinancing Amendment or (ii) from any bank, other financial institution or institutional investor that agrees to provide any portion of any Credit Agreement Refinancing Indebtedness in any other form, such other Credit Agreement Refinancing Indebtedness, in each case to refinance (and to reduce on a dollar-for-dollar or greater basis) all or any portion of the Loans then outstanding under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Refinancing Amendments</w:t>
      </w:r>
      <w:r>
        <w:rPr>
          <w:rFonts w:ascii="Times New Roman;sans-serif" w:hAnsi="Times New Roman;sans-serif"/>
          <w:b w:val="false"/>
          <w:color w:val="000000"/>
          <w:sz w:val="22"/>
        </w:rPr>
        <w:t>. The effectiveness of any Refinancing Amendment will be subject only to the satisfaction on the date thereof of such of the conditions set forth in Sections 5.1 and 5.2 as may be requested by the providers of applicable Refinancing Loans. The Administrative Agent will promptly notify each Lender as to the effectiveness of each Refinancing Amendment. Each of the parties hereto hereby agrees that, upon the effectiveness of any Refinancing Amendment, this Agreement will be deemed amended to the extent (but only to the extent) necessary to reflect the existence and terms of the Refinancing Loans incurred pursuant thereto (including any amendments necessary to treat the Loans subject thereto as Refinancing Loans).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Required Consents</w:t>
      </w:r>
      <w:r>
        <w:rPr>
          <w:rFonts w:ascii="Times New Roman;sans-serif" w:hAnsi="Times New Roman;sans-serif"/>
          <w:b w:val="false"/>
          <w:color w:val="000000"/>
          <w:sz w:val="22"/>
        </w:rPr>
        <w:t xml:space="preserve">. Any Refinancing Amendment may, without the consent of any Person other than the Administrative Agent (which consent shall not be unreasonably withheld, conditioned or delayed), the Borrower and the Persons providing the applicable Refinancing Loans, effect such amendments to this Agreement and the other Loan Documents as may be necessary or appropriate, in the reasonable opinion of the Administrative Agent and the Borrower, to effect the provisions of this Section 2.28. This Section 2.28 supersedes any provisions in Section 10.1 to the contrary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560705"/>
                <wp:effectExtent l="0" t="0" r="0" b="0"/>
                <wp:wrapNone/>
                <wp:docPr id="196" name="Frame19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Section 10.1(a)). Notwithstanding anything to the contrary contained herein, to the extent any Refinancing Loans are secured by Liens on a pari passu basis with the Liens securing the Obligations, such Refinancing Loans and Refinancing Amendment shall require the prior written consent of the Required Lenders.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Other Credit Agreement Refinancing Indebtedness</w:t>
      </w:r>
      <w:r>
        <w:rPr>
          <w:rFonts w:ascii="Times New Roman;sans-serif" w:hAnsi="Times New Roman;sans-serif"/>
          <w:b w:val="false"/>
          <w:color w:val="000000"/>
          <w:sz w:val="22"/>
        </w:rPr>
        <w:t>. Credit Agreement Refinancing Indebtedness incurred pursuant to clause (ii) of the definition thereof will be subject to terms and conditions as agreed by the providers of the applicable loans.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Providers of Refinancing Loans</w:t>
      </w:r>
      <w:r>
        <w:rPr>
          <w:rFonts w:ascii="Times New Roman;sans-serif" w:hAnsi="Times New Roman;sans-serif"/>
          <w:b w:val="false"/>
          <w:color w:val="000000"/>
          <w:sz w:val="22"/>
        </w:rPr>
        <w:t>. Refinancing Loans may be provided by any existing Lender (it being understood that no existing Lender will have an obligation to make all or any portion of any Refinancing Loan) or by other Persons on terms permitted by this Section 2.28;</w:t>
      </w:r>
      <w:r>
        <w:rPr>
          <w:color w:val="000000"/>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Administrative Agent will have consented (in each case, such consent not to be unreasonably withheld, conditioned or delayed) to any such Person’s providing Refinancing Loans or Refinancing Commitments if such consent would be required under Section 10.6(b) for an assignment of Loans or Commitments to such Person. </w:t>
      </w:r>
    </w:p>
    <w:p>
      <w:pPr>
        <w:pStyle w:val="TextBody"/>
        <w:bidi w:val="0"/>
        <w:spacing w:lineRule="auto" w:line="288" w:before="0" w:after="240"/>
        <w:ind w:left="0" w:right="0" w:firstLine="720"/>
        <w:jc w:val="both"/>
        <w:rPr/>
      </w:pPr>
      <w:r>
        <w:rPr>
          <w:rFonts w:ascii="Times New Roman;sans-serif" w:hAnsi="Times New Roman;sans-serif"/>
          <w:b/>
          <w:color w:val="000000"/>
          <w:sz w:val="22"/>
        </w:rPr>
        <w:t>2.29    Discounted Prepayments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Generally</w:t>
      </w:r>
      <w:r>
        <w:rPr>
          <w:rFonts w:ascii="Times New Roman;sans-serif" w:hAnsi="Times New Roman;sans-serif"/>
          <w:b w:val="false"/>
          <w:color w:val="000000"/>
          <w:sz w:val="22"/>
        </w:rPr>
        <w:t>. Notwithstanding anything in any Loan Document to the contrary, so long as no Default or Event of Default has occurred and is continuing on both the date a Discounted Prepayment Notice (as defined below) is delivered to the Administrative Agent and the Lenders and the date a Discounted Prepayment (as defined below) is made (both before and after giving effect thereto), the Borrower (in such capacity, the “</w:t>
      </w:r>
      <w:r>
        <w:rPr>
          <w:rFonts w:ascii="Times New Roman;sans-serif" w:hAnsi="Times New Roman;sans-serif"/>
          <w:b/>
          <w:i/>
          <w:color w:val="000000"/>
          <w:sz w:val="22"/>
        </w:rPr>
        <w:t>Discounted Prepayment Offeror</w:t>
      </w:r>
      <w:r>
        <w:rPr>
          <w:color w:val="000000"/>
        </w:rPr>
        <w:t>”</w:t>
      </w:r>
      <w:r>
        <w:rPr>
          <w:rFonts w:ascii="Times New Roman;sans-serif" w:hAnsi="Times New Roman;sans-serif"/>
          <w:b w:val="false"/>
          <w:color w:val="000000"/>
          <w:sz w:val="22"/>
        </w:rPr>
        <w:t>) will be permitted to (x) offer to make voluntary prepayments of the Loans from internally generated funds (a “</w:t>
      </w:r>
      <w:r>
        <w:rPr>
          <w:rFonts w:ascii="Times New Roman;sans-serif" w:hAnsi="Times New Roman;sans-serif"/>
          <w:b/>
          <w:i/>
          <w:color w:val="000000"/>
          <w:sz w:val="22"/>
        </w:rPr>
        <w:t>Discounted Prepayment</w:t>
      </w:r>
      <w:r>
        <w:rPr>
          <w:color w:val="000000"/>
        </w:rPr>
        <w:t>”</w:t>
      </w:r>
      <w:r>
        <w:rPr>
          <w:rFonts w:ascii="Times New Roman;sans-serif" w:hAnsi="Times New Roman;sans-serif"/>
          <w:b w:val="false"/>
          <w:color w:val="000000"/>
          <w:sz w:val="22"/>
        </w:rPr>
        <w:t>) on one or more occasions pursuant to the provisions of this Section 2.29, and (y) make such Discounted Prepayment on one or more occasions pursuant to the provisions of this Section 2.29 (it being understood that no Lender will have an obligation to accept a Discounted Prepayment).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Procedures</w:t>
      </w:r>
      <w:r>
        <w:rPr>
          <w:rFonts w:ascii="Times New Roman;sans-serif" w:hAnsi="Times New Roman;sans-serif"/>
          <w:b w:val="false"/>
          <w:color w:val="000000"/>
          <w:sz w:val="22"/>
        </w:rPr>
        <w:t>. In connection with any Discounted Prepayment, the Discounted Prepayment Offeror will notify the Administrative Agent in writing (the “</w:t>
      </w:r>
      <w:r>
        <w:rPr>
          <w:rFonts w:ascii="Times New Roman;sans-serif" w:hAnsi="Times New Roman;sans-serif"/>
          <w:b/>
          <w:i/>
          <w:color w:val="000000"/>
          <w:sz w:val="22"/>
        </w:rPr>
        <w:t>Discounted Prepayment Notice</w:t>
      </w:r>
      <w:r>
        <w:rPr>
          <w:color w:val="000000"/>
        </w:rPr>
        <w:t>”</w:t>
      </w:r>
      <w:r>
        <w:rPr>
          <w:rFonts w:ascii="Times New Roman;sans-serif" w:hAnsi="Times New Roman;sans-serif"/>
          <w:b w:val="false"/>
          <w:color w:val="000000"/>
          <w:sz w:val="22"/>
        </w:rPr>
        <w:t>) that the Discounted Prepayment Offeror desires to prepay the Loans on a Business Day, in a maximum aggregate amount (which amount will be not less than $1,000,000 and whole increments of $100,000 in excess thereof) (the “</w:t>
      </w:r>
      <w:r>
        <w:rPr>
          <w:rFonts w:ascii="Times New Roman;sans-serif" w:hAnsi="Times New Roman;sans-serif"/>
          <w:b/>
          <w:i/>
          <w:color w:val="000000"/>
          <w:sz w:val="22"/>
        </w:rPr>
        <w:t>Discounted Prepayment Amount</w:t>
      </w:r>
      <w:r>
        <w:rPr>
          <w:color w:val="000000"/>
        </w:rPr>
        <w:t>”</w:t>
      </w:r>
      <w:r>
        <w:rPr>
          <w:rFonts w:ascii="Times New Roman;sans-serif" w:hAnsi="Times New Roman;sans-serif"/>
          <w:b w:val="false"/>
          <w:color w:val="000000"/>
          <w:sz w:val="22"/>
        </w:rPr>
        <w:t>) at a discount to par (which will be expressed as a range of percentages of par of the principal amount of the Loans) specified by the Discounted Prepayment Offeror with respect to each Discounted Prepayment (the “</w:t>
      </w:r>
      <w:r>
        <w:rPr>
          <w:rFonts w:ascii="Times New Roman;sans-serif" w:hAnsi="Times New Roman;sans-serif"/>
          <w:b/>
          <w:i/>
          <w:color w:val="000000"/>
          <w:sz w:val="22"/>
        </w:rPr>
        <w:t>Discount Price Range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 such notice will be received by the Administrative Agent and Lenders no earlier than 15 Business Days and no later than 5 Business Days prior to the proposed date by which Lenders are required to respond to the Discounted Prepayment Notice if they desire to participate (the “</w:t>
      </w:r>
      <w:r>
        <w:rPr>
          <w:rFonts w:ascii="Times New Roman;sans-serif" w:hAnsi="Times New Roman;sans-serif"/>
          <w:b/>
          <w:i/>
          <w:color w:val="000000"/>
          <w:sz w:val="22"/>
        </w:rPr>
        <w:t>Discounted Prepayment Response Date</w:t>
      </w:r>
      <w:r>
        <w:rPr>
          <w:color w:val="000000"/>
        </w:rPr>
        <w:t>”</w:t>
      </w:r>
      <w:r>
        <w:rPr>
          <w:rFonts w:ascii="Times New Roman;sans-serif" w:hAnsi="Times New Roman;sans-serif"/>
          <w:b w:val="false"/>
          <w:color w:val="000000"/>
          <w:sz w:val="22"/>
        </w:rPr>
        <w:t>) and (ii) the offer in any such notice will be made to all Lenders holding Loans (it being understood that different Discount Price Ranges may be offered with respect to different tranches of Loans and, in such event, each such offer will be treated as a separate offer pursuant to the terms of this Section 2.29). The Administrative Agent will promptly provide each Lender of the applicable tranche(s) a copy of such Discounted Prepayment Notice. In connection with a Discounted Prepayment, each Lender holding the Loans of the applicable tranche(s) will be entitled to specify to the Administrative Agent a discount to par (which will be expressed as a price equal to a percentage of par of the principal amount of the Loans held by such Lender, the “</w:t>
      </w:r>
      <w:r>
        <w:rPr>
          <w:rFonts w:ascii="Times New Roman;sans-serif" w:hAnsi="Times New Roman;sans-serif"/>
          <w:b/>
          <w:i/>
          <w:color w:val="000000"/>
          <w:sz w:val="22"/>
        </w:rPr>
        <w:t>Acceptable Discount Price</w:t>
      </w:r>
      <w:r>
        <w:rPr>
          <w:color w:val="000000"/>
        </w:rPr>
        <w:t>”</w:t>
      </w:r>
      <w:r>
        <w:rPr>
          <w:rFonts w:ascii="Times New Roman;sans-serif" w:hAnsi="Times New Roman;sans-serif"/>
          <w:b w:val="false"/>
          <w:color w:val="000000"/>
          <w:sz w:val="22"/>
        </w:rPr>
        <w:t xml:space="preserve">) within the Discount Price Range for a principal amount (subject to rounding requirements specified by the Administrative Agent) of the Loans of the applicable tranche held by such Lender at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560705"/>
                <wp:effectExtent l="0" t="0" r="0" b="0"/>
                <wp:wrapNone/>
                <wp:docPr id="197" name="Frame19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79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which such Lender is willing to accept such Discounted Prepayment. Each response by a Lender to a Discounted Prepayment Notice (x) will be due no later than 5:00 p.m. on the Discounted Prepayment Response Date, (y) to the extent not timely received by the Administrative Agent will be disregarded and such Lender will be deemed to have declined the Discounted Prepayment offer and (z) to the extent timely received by the Administrative Agent will be irrevocable. The Administrative Agent will provide the Discounted Prepayment Offeror with a summary of all tenders by Lenders in response to the Discounted Prepayment Notice and, based on the Acceptable Discount Prices and principal amounts of the Loans of the applicable tranches specified by Lenders, the Administrative Agent, in consultation with the Discounted Prepayment Offeror, will determine the applicable discount price (the “</w:t>
      </w:r>
      <w:r>
        <w:rPr>
          <w:rFonts w:ascii="Times New Roman;sans-serif" w:hAnsi="Times New Roman;sans-serif"/>
          <w:b/>
          <w:i/>
          <w:color w:val="000000"/>
          <w:sz w:val="22"/>
        </w:rPr>
        <w:t>Applicable Discount Price</w:t>
      </w:r>
      <w:r>
        <w:rPr>
          <w:color w:val="000000"/>
        </w:rPr>
        <w:t>”</w:t>
      </w:r>
      <w:r>
        <w:rPr>
          <w:rFonts w:ascii="Times New Roman;sans-serif" w:hAnsi="Times New Roman;sans-serif"/>
          <w:b w:val="false"/>
          <w:color w:val="000000"/>
          <w:sz w:val="22"/>
        </w:rPr>
        <w:t>) for the applicable Discounted Prepayment of all Loans to be prepaid in such Discounted Prepayment, which will be the lower of (i) the lowest Acceptable Discount Price at which the Discounted Prepayment Offeror can complete the Discounted Prepayment for 100% of the Discounted Prepayment Amount and (ii) if the Lenders’ response is such that the Discounted Prepayment could not be completed for 100% of the Discounted Prepayment Amount, the highest Acceptable Discount Price specified by the Lenders that is within the Discount Price Range specified by the Discounted Prepayment Offeror. The Discounted Prepayment Offeror will have the right, by written notice to the Administrative Agent, to revoke in full (but not in part) its offer to make a Discounted Prepayment and rescind any Discounted Prepayment Notice therefor at its discretion at any time on or prior to the applicable Discounted Prepayment Response Date (and if such offer is revoked or notice rescinded, any failure by the Discounted Prepayment Offeror to make a prepayment to a Lender, as applicable, pursuant to this Section will not constitute a Default or Event of Default under Section 8.1 or otherwise).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Prepayments; Application</w:t>
      </w:r>
      <w:r>
        <w:rPr>
          <w:rFonts w:ascii="Times New Roman;sans-serif" w:hAnsi="Times New Roman;sans-serif"/>
          <w:b w:val="false"/>
          <w:color w:val="000000"/>
          <w:sz w:val="22"/>
        </w:rPr>
        <w:t>. The Discounted Prepayment Offeror will prepay the Loans of the applicable tranche(s) (or the respective portion thereof) accepted by Lenders at the Acceptable Discount Prices specified by each such Lender that are equal to or less than (expressed as a percentage of par of the principal amount of Loans) the Applicable Discount Price (“</w:t>
      </w:r>
      <w:r>
        <w:rPr>
          <w:rFonts w:ascii="Times New Roman;sans-serif" w:hAnsi="Times New Roman;sans-serif"/>
          <w:b/>
          <w:i/>
          <w:color w:val="000000"/>
          <w:sz w:val="22"/>
        </w:rPr>
        <w:t>Qualifying Loans</w:t>
      </w:r>
      <w:r>
        <w:rPr>
          <w:color w:val="000000"/>
        </w:rPr>
        <w:t>”</w:t>
      </w:r>
      <w:r>
        <w:rPr>
          <w:rFonts w:ascii="Times New Roman;sans-serif" w:hAnsi="Times New Roman;sans-serif"/>
          <w:b w:val="false"/>
          <w:color w:val="000000"/>
          <w:sz w:val="22"/>
        </w:rPr>
        <w:t xml:space="preserve">) at the Applicable Discount Price;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if the aggregate proceeds required to prepay Qualifying Loans (disregarding any interest payable under this Section 2.29) would exceed the Discounted Prepayment Amount for such Discounted Prepayment, the Discounted Prepayment Offeror will prepay such Qualifying Loans at the Applicable Discount Price ratably based on the respective principal amounts of such Qualifying Loans (subject to rounding requirements specified by the Administrative Agent). The portion of the Loans prepaid by the Discounted Prepayment Offeror pursuant to this Section 2.29 will be accompanied by payment of accrued and unpaid interest on the par principal amount so prepaid to, but not including, the date of prepayment. The par principal amount of the Loans prepaid pursuant to this Section 2.29 will be applied to reduce the remaining installments of Loans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against all such scheduled installments (including, for the avoidance of doubt, the amount of scheduled installments owing to Lenders not prepaid pursuant to this Section 2.29). The Administrative Agent will notify the Discounted Prepayment Offeror and the Lenders that received the applicable Discounted Prepayment Notice of the results of the offer promptly after completion of the determinations referred to above, and the Discounted Prepayment Offeror will make the Discounted Prepayment no later than 3 Business Days after receipt of such notice. The par principal amount of the Loans prepaid pursuant to this Section 2.29 will be deemed immediately cancelled upon payment of the applicable Discounted Prepayment.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Lender Consent</w:t>
      </w:r>
      <w:r>
        <w:rPr>
          <w:rFonts w:ascii="Times New Roman;sans-serif" w:hAnsi="Times New Roman;sans-serif"/>
          <w:b w:val="false"/>
          <w:color w:val="000000"/>
          <w:sz w:val="22"/>
        </w:rPr>
        <w:t>. The Lenders hereby consent to the transactions described in this Section 2.29 and waive (i) the requirements of Section 2.18 or any other requirement to the extent it would require that the Discounted Prepayment be made in respect of the Lenders’ pro rata share of the Loans or with respect to all tranches of Loans, and (ii) the requirements of any provision of this Agreement or any other Loan Document that might otherwise result in a Default or Event of Default as a result of a Discounted Prepayment.</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560705"/>
                <wp:effectExtent l="0" t="0" r="0" b="0"/>
                <wp:wrapNone/>
                <wp:docPr id="198" name="Frame19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 Each Discounted Prepayment will be consummated pursuant to procedures (including as to timing, rounding and minimum amounts, type and Interest Periods of accepted Loans, conditions for terminating a Discounted Prepayment or rescinding an acceptance of prepayment, forms of other notices (including notices of offer and acceptance) by the Discounted Prepayment Offeror and Lenders and determination of Applicable Discount Price) established by the Administrative Agent acting in its reasonable discretion in consultation with the Discounted Prepayment Offeror. The making of a Discounted Prepayment will be deemed to be a representation and warranty by the Borrower that all conditions precedent to such Discounted Prepayment set forth in this Section 2.29 were satisfied in all respects.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SECTION 3</w:t>
        <w:br/>
        <w:t>[RESERVED]</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SECTION 4</w:t>
        <w:br/>
        <w:t>REPRESENTATIONS AND WARRANTIES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To induce the Administrative Agent and the Lenders to enter into this Agreement and to make the Loans, the Borrower hereby represents and warrants to the Administrative Agent and each Lender, as to themselves and each of its Subsidiaries (and for the avoidance of doubt such representations and warranties shall be made on and as of the Closing Date, but, other than as set forth in Section 5.1(l), the accuracy of such representations and warranties shall not constitute a condition to the effectiveness of this Agreement and the obligation of each Lender to make the Initial Credit Extension), that:</w:t>
      </w:r>
    </w:p>
    <w:p>
      <w:pPr>
        <w:pStyle w:val="TextBody"/>
        <w:bidi w:val="0"/>
        <w:spacing w:lineRule="auto" w:line="288" w:before="0" w:after="240"/>
        <w:ind w:left="0" w:right="0" w:firstLine="720"/>
        <w:jc w:val="both"/>
        <w:rPr/>
      </w:pPr>
      <w:r>
        <w:rPr>
          <w:rFonts w:ascii="Times New Roman;sans-serif" w:hAnsi="Times New Roman;sans-serif"/>
          <w:b/>
          <w:color w:val="000000"/>
          <w:sz w:val="22"/>
        </w:rPr>
        <w:t>4.1    Financial Condition</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[Reserved].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audited consolidated balance sheets of the Borrower and its Subsidiaries as of December 31, 2023 and the related consolidated statements of operations and of cash flows for the fiscal year ended on such date, present fairly in all material respects the consolidated financial condition of the Borrower and its Subsidiaries as at such date, and the consolidated results of its operations and its consolidated cash flows for the fiscal year then ended. All such financial statements, including the related schedules and notes thereto, have been prepared in accordance with GAAP applied consistently throughout the periods involved (except as approved by the aforementioned firm of accountants and disclosed therein). No Group Member has, as of the Closing Date, any material Guarantee Obligations, contingent liabilities, or any long-term leases or unusual forward or long-term commitments, including any interest rate or foreign currency swap or exchange transaction or other obligation in respect of derivatives, that are not reflected in the most recent financial statements referred to in this paragraph. During the period from December 31, 2023 to and including the date hereof, there has been no Disposition by any Group Member of any material part of the business or property of the Group Members, taken as a whole.</w:t>
      </w:r>
    </w:p>
    <w:p>
      <w:pPr>
        <w:pStyle w:val="TextBody"/>
        <w:bidi w:val="0"/>
        <w:spacing w:lineRule="auto" w:line="288" w:before="0" w:after="240"/>
        <w:ind w:left="0" w:right="0" w:firstLine="720"/>
        <w:jc w:val="both"/>
        <w:rPr/>
      </w:pPr>
      <w:r>
        <w:rPr>
          <w:rFonts w:ascii="Times New Roman;sans-serif" w:hAnsi="Times New Roman;sans-serif"/>
          <w:b/>
          <w:color w:val="000000"/>
          <w:sz w:val="22"/>
        </w:rPr>
        <w:t>4.2    No Change</w:t>
      </w:r>
      <w:r>
        <w:rPr>
          <w:rFonts w:ascii="Times New Roman;sans-serif" w:hAnsi="Times New Roman;sans-serif"/>
          <w:b w:val="false"/>
          <w:color w:val="000000"/>
          <w:sz w:val="22"/>
        </w:rPr>
        <w:t>. Since the Closing Date, there has been no development or event that has had or could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color w:val="000000"/>
          <w:sz w:val="22"/>
        </w:rPr>
        <w:t>4.3    Existence; Compliance with Law</w:t>
      </w:r>
      <w:r>
        <w:rPr>
          <w:rFonts w:ascii="Times New Roman;sans-serif" w:hAnsi="Times New Roman;sans-serif"/>
          <w:b w:val="false"/>
          <w:color w:val="000000"/>
          <w:sz w:val="22"/>
        </w:rPr>
        <w:t xml:space="preserve">. Each Group Member (a) other than any Immaterial Subsidiary or Foreign Subsidiary that is not a Loan Party, is duly organized or incorporated, validly existing and in good standing under the laws of the jurisdiction of its organization or incorporation, (b) has the power and authority, and the legal right, to own and operate its property, to lease the property it operates as lessee and to conduct the business in which it is currently engaged, (c) is duly qualified as a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560705"/>
                <wp:effectExtent l="0" t="0" r="0" b="0"/>
                <wp:wrapNone/>
                <wp:docPr id="199" name="Frame19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foreign corporation or other organization and in good standing under the laws of each jurisdiction where the failure to be so qualified would reasonably be expected to have a Material Adverse Effect and (d) is in material compliance with all applicable Requirements of Law, except in such instances in which such Requirement of Law is being contested in good faith by appropriate proceedings diligently conducted and the prosecution of such contest could not reasonably be expected to result in a Material Adverse Effect (except, in each case of clauses (a) (other than with respect to the Borrower), (b), (c) and (d), where the failure to be so, to have so, or to comply therewith, either individually or in the aggregate, could not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color w:val="000000"/>
          <w:sz w:val="22"/>
        </w:rPr>
        <w:t>4.4    Power, Authorization; Enforceable Obligations</w:t>
      </w:r>
      <w:r>
        <w:rPr>
          <w:rFonts w:ascii="Times New Roman;sans-serif" w:hAnsi="Times New Roman;sans-serif"/>
          <w:b w:val="false"/>
          <w:color w:val="000000"/>
          <w:sz w:val="22"/>
        </w:rPr>
        <w:t>. (a) Each Loan Party has the power and authority, and the legal right, to make, deliver and perform the Loan Documents to which it is a party and, in the case of the Borrower, to obtain extensions of credit hereunder; (b) each Loan Party has taken all necessary organizational or corporate action to authorize the execution, delivery and performance of the Loan Documents to which it is a party and, in the case of the Borrower, to authorize the extensions of credit on the terms and conditions of this Agreement; (c) no material Governmental Approval or consent, or authorization of, filing with, notice to or other act by or in respect of, any other Person is required in connection with the extensions of credit hereunder or with the execution, delivery, performance, validity or enforceability of this Agreement or any of the Loan Documents, except (i) Governmental Approvals, consents, authorizations, filings and notices that have been obtained or made and are in full force and effect, (ii) the filings referred to in Section 4.19 and any other filings from time to time required under the Guarantee and Collateral Agreement, and (iii) routine Tax filings; (d) each Loan Document has been duly executed and delivered on behalf of each Loan Party party thereto; and (e)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receivership, examinership, rescue process, administration or similar laws affecting the enforcement of creditors’ rights generally and by general equitable principles (whether enforcement is sought by proceedings in equity or at law) and, in the case of Loan Documents, to which a Foreign Subsidiary is a party, the other Legal Reservations.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4.5    No Legal Bar</w:t>
      </w:r>
      <w:r>
        <w:rPr>
          <w:rFonts w:ascii="Times New Roman;sans-serif" w:hAnsi="Times New Roman;sans-serif"/>
          <w:b w:val="false"/>
          <w:color w:val="000000"/>
          <w:sz w:val="22"/>
        </w:rPr>
        <w:t xml:space="preserve">. The execution, delivery and performance of this Agreement and the other Loan Documents by any Loan Party, the borrowings hereunder and the use of the proceeds thereof do not violate any material Requirement of Law or the Operating Documents of such Loan Party, except in each case (other than with respect to the Borrower) to the extent that such violation could not reasonably be expected to have a Material Adverse Effect. </w:t>
      </w:r>
    </w:p>
    <w:p>
      <w:pPr>
        <w:pStyle w:val="TextBody"/>
        <w:bidi w:val="0"/>
        <w:spacing w:lineRule="auto" w:line="288" w:before="0" w:after="240"/>
        <w:ind w:left="0" w:right="0" w:firstLine="720"/>
        <w:jc w:val="both"/>
        <w:rPr/>
      </w:pPr>
      <w:r>
        <w:rPr>
          <w:rFonts w:ascii="Times New Roman;sans-serif" w:hAnsi="Times New Roman;sans-serif"/>
          <w:b/>
          <w:color w:val="000000"/>
          <w:sz w:val="22"/>
        </w:rPr>
        <w:t>4.6    Litigation</w:t>
      </w:r>
      <w:r>
        <w:rPr>
          <w:rFonts w:ascii="Times New Roman;sans-serif" w:hAnsi="Times New Roman;sans-serif"/>
          <w:b w:val="false"/>
          <w:color w:val="000000"/>
          <w:sz w:val="22"/>
        </w:rPr>
        <w:t>. (a) No litigation or proceeding of or before any arbitrator or Governmental Authority is pending or, to the knowledge of the Borrower, threatened in writing by or against any Group Member or against any of their respective properties or revenues, and (b) to the knowledge of the Group Members, no investigation concerning any Group Member is pending or threatened in writing, in each case of (a) and (b), (i) with respect to any of the Loan Documents or any of the transactions contemplated hereby or thereby, or (ii) that could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color w:val="000000"/>
          <w:sz w:val="22"/>
        </w:rPr>
        <w:t>4.7    [Reserved]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2"/>
        </w:rPr>
        <w:t>4.8    Ownership of Property; Liens</w:t>
      </w:r>
      <w:r>
        <w:rPr>
          <w:rFonts w:ascii="Times New Roman;sans-serif" w:hAnsi="Times New Roman;sans-serif"/>
          <w:b w:val="false"/>
          <w:color w:val="000000"/>
          <w:sz w:val="22"/>
        </w:rPr>
        <w:t xml:space="preserve">. Each Group Member has title in fee simple to, or a valid leasehold interest in, all of its real property, and good title to, or a valid leasehold interest in, all of its other property, in each case, except as could not, in the aggregate, reasonably be expected to result in a Material Adverse Effect, and none of such property is subject to any Lien except as permitted by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560705"/>
                <wp:effectExtent l="0" t="0" r="0" b="0"/>
                <wp:wrapNone/>
                <wp:docPr id="200" name="Frame20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Section 7.3. Schedule 4.8 sets forth a complete and accurate list of all Material Real Property owned by each Loan Party as of the Closing Date, if any.</w:t>
      </w:r>
    </w:p>
    <w:p>
      <w:pPr>
        <w:pStyle w:val="TextBody"/>
        <w:bidi w:val="0"/>
        <w:spacing w:lineRule="auto" w:line="288" w:before="0" w:after="240"/>
        <w:ind w:left="0" w:right="0" w:firstLine="720"/>
        <w:jc w:val="both"/>
        <w:rPr/>
      </w:pPr>
      <w:r>
        <w:rPr>
          <w:rFonts w:ascii="Times New Roman;sans-serif" w:hAnsi="Times New Roman;sans-serif"/>
          <w:b/>
          <w:color w:val="000000"/>
          <w:sz w:val="22"/>
        </w:rPr>
        <w:t>4.9    Intellectual Property</w:t>
      </w:r>
      <w:r>
        <w:rPr>
          <w:rFonts w:ascii="Times New Roman;sans-serif" w:hAnsi="Times New Roman;sans-serif"/>
          <w:b w:val="false"/>
          <w:color w:val="000000"/>
          <w:sz w:val="22"/>
        </w:rPr>
        <w:t>. Each Group Member owns, or is licensed to use, to the knowledge of such Group Member, all material Intellectual Property necessary for the conduct of its business as currently conducted. Except as listed on Schedule 4.9, no claim has been asserted and is pending by any Person challenging or questioning any Group Member’s use of any Intellectual Property or the validity of any Group Member’s Intellectual Property, nor does the Borrower know of any valid basis for any such claim, in each case other than any claim that could not reasonably be expected to have a Material Adverse Effect. The use of Intellectual Property by each Group Member, and the conduct of such Group Member’s business, as currently conducted, does not, to the knowledge of the Borrower, infringe on or otherwise violate the rights of any Person, unless such infringement or violation could not reasonably be expected to have a Material Adverse Effect, and there are no claims pending or, to the knowledge the Borrower, threatened in writing to such effect, unless such claim could not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color w:val="000000"/>
          <w:sz w:val="22"/>
        </w:rPr>
        <w:t>4.10    Taxes</w:t>
      </w:r>
      <w:r>
        <w:rPr>
          <w:rFonts w:ascii="Times New Roman;sans-serif" w:hAnsi="Times New Roman;sans-serif"/>
          <w:b w:val="false"/>
          <w:color w:val="000000"/>
          <w:sz w:val="22"/>
        </w:rPr>
        <w:t>. Each Group Member has filed or caused to be filed all Tax returns that are required to be filed by it and has paid or caused to be paid all material Taxes shown to be due and payable by it on said returns or on any assessments made against it or any of its property and all other material Taxes, fees or other charges imposed on it or any of its property by any Governmental Authority that are due and payable (other than any Taxes, fees or charges the amount or validity of which are currently being contested in good faith by appropriate proceedings and with respect to which reserves in conformity with GAAP have been provided on the books of the relevant Group Member); no material tax Lien has been filed on any property of a Loan Party that is still in effect (other than Liens permitted by Section 7.3(a)), and, to the knowledge of the Borrower, no claim is being asserted by any Governmental Authority, with respect to any such Tax, fee or other charge that is not being contested in good faith and by appropriate proceedings.</w:t>
      </w:r>
    </w:p>
    <w:p>
      <w:pPr>
        <w:pStyle w:val="TextBody"/>
        <w:bidi w:val="0"/>
        <w:spacing w:lineRule="auto" w:line="288" w:before="0" w:after="240"/>
        <w:ind w:left="0" w:right="0" w:firstLine="720"/>
        <w:jc w:val="both"/>
        <w:rPr/>
      </w:pPr>
      <w:r>
        <w:rPr>
          <w:rFonts w:ascii="Times New Roman;sans-serif" w:hAnsi="Times New Roman;sans-serif"/>
          <w:b/>
          <w:color w:val="000000"/>
          <w:sz w:val="22"/>
        </w:rPr>
        <w:t>4.11    Federal Regulations</w:t>
      </w:r>
      <w:r>
        <w:rPr>
          <w:rFonts w:ascii="Times New Roman;sans-serif" w:hAnsi="Times New Roman;sans-serif"/>
          <w:b w:val="false"/>
          <w:color w:val="000000"/>
          <w:sz w:val="22"/>
        </w:rPr>
        <w:t xml:space="preserve">. The Borrower is not engaged principally or as one of its important activities, in the business of “buying” or “carrying” “margin stock” (within the respective meanings of each of the quoted terms under Regulation U as now and from time to time hereafter in effect) or extending credit for the purpose of purchasing or carrying margin stock. </w:t>
      </w:r>
    </w:p>
    <w:p>
      <w:pPr>
        <w:pStyle w:val="TextBody"/>
        <w:bidi w:val="0"/>
        <w:spacing w:lineRule="auto" w:line="288" w:before="0" w:after="240"/>
        <w:ind w:left="0" w:right="0" w:firstLine="720"/>
        <w:jc w:val="both"/>
        <w:rPr/>
      </w:pPr>
      <w:r>
        <w:rPr>
          <w:rFonts w:ascii="Times New Roman;sans-serif" w:hAnsi="Times New Roman;sans-serif"/>
          <w:b/>
          <w:color w:val="000000"/>
          <w:sz w:val="22"/>
        </w:rPr>
        <w:t>4.12    Labor Matters</w:t>
      </w:r>
      <w:r>
        <w:rPr>
          <w:rFonts w:ascii="Times New Roman;sans-serif" w:hAnsi="Times New Roman;sans-serif"/>
          <w:b w:val="false"/>
          <w:color w:val="000000"/>
          <w:sz w:val="22"/>
        </w:rPr>
        <w:t>. Except as, in the aggregate, could not reasonably be expected to have a Material Adverse Effect: (a) there are no strikes or other labor disputes against any Group Member pending or, to the knowledge the Borrower, threatened in writing; (b) hours worked by and payment made to employees of each Group Member have not been in violation of the Fair Labor Standards Act of 1938, as amended, or any other applicable Requirement of Law dealing with such matters; and (c) all payments due from any Group Member on account of employee health and welfare insurance have been paid or accrued as a liability on the books of the relevant Group Member.</w:t>
      </w:r>
    </w:p>
    <w:p>
      <w:pPr>
        <w:pStyle w:val="TextBody"/>
        <w:bidi w:val="0"/>
        <w:spacing w:lineRule="auto" w:line="288" w:before="0" w:after="240"/>
        <w:ind w:left="0" w:right="0" w:firstLine="720"/>
        <w:jc w:val="both"/>
        <w:rPr/>
      </w:pPr>
      <w:r>
        <w:rPr>
          <w:rFonts w:ascii="Times New Roman;sans-serif" w:hAnsi="Times New Roman;sans-serif"/>
          <w:b/>
          <w:color w:val="000000"/>
          <w:sz w:val="22"/>
        </w:rPr>
        <w:t>4.13    ERISA</w:t>
      </w:r>
      <w:r>
        <w:rPr>
          <w:rFonts w:ascii="Times New Roman;sans-serif" w:hAnsi="Times New Roman;sans-serif"/>
          <w:b w:val="false"/>
          <w:color w:val="000000"/>
          <w:sz w:val="22"/>
        </w:rPr>
        <w:t xml:space="preserve">.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Except as, in the aggregate, could not reasonably be expected to result in a Material Adverse Effect: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Each Loan Party and, to each Loan Party’s knowledge, each of its respective ERISA Affiliates are in compliance in all material respects with all applicable provisions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560705"/>
                <wp:effectExtent l="0" t="0" r="0" b="0"/>
                <wp:wrapNone/>
                <wp:docPr id="201" name="Frame20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requirements of ERISA with respect to each Pension Plan, and have performed all their obligations in all material respects under each Pension Plan;</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no ERISA Event has occurred or is reasonably expected to occur;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each Loan Party and, to each Loan Party’s knowledge, each of its respective ERISA Affiliates has met all applicable requirements under the ERISA Funding Rules with respect to each Pension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    [reserved];</w:t>
      </w:r>
      <w:r>
        <w:rPr>
          <w:color w:val="000000"/>
          <w:u w:val="single"/>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all liabilities under each Pension Plan are (i) funded to at least the minimum level required by law, (ii) insured with a reputable insurance company; (iii) provided for or recognized in the financial statements most recently delivered to the Administrative Agent and the Lenders pursuant hereto or (iv) estimated in the formal notes to the financial statements most recently delivered to the Administrative Agent and the Lenders pursuant hereto;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(i) no Loan Party is a “plan” within the meaning of Section 4975(e) of the Code; (ii) the respective assets of the Loan Parties do not constitute “plan assets” within the meaning of the United States Department of Labor Regulations set forth in 29 C.F.R. §2510.3-101, as modified by ERISA 3(42); (iii) no Loan Party is a “governmental plan” within the meaning of Section 3(32) of ERISA; and (iv) transactions by or with any Loan Party are not subject to state statutes applicable to such Loan Party regulating investments of fiduciaries with respect to governmental plans.</w:t>
      </w:r>
    </w:p>
    <w:p>
      <w:pPr>
        <w:pStyle w:val="TextBody"/>
        <w:bidi w:val="0"/>
        <w:spacing w:lineRule="auto" w:line="288" w:before="0" w:after="240"/>
        <w:ind w:left="0" w:right="0" w:firstLine="720"/>
        <w:jc w:val="both"/>
        <w:rPr/>
      </w:pPr>
      <w:r>
        <w:rPr>
          <w:rFonts w:ascii="Times New Roman;sans-serif" w:hAnsi="Times New Roman;sans-serif"/>
          <w:b/>
          <w:color w:val="000000"/>
          <w:sz w:val="22"/>
        </w:rPr>
        <w:t>4.14    Investment Company Act</w:t>
      </w:r>
      <w:r>
        <w:rPr>
          <w:rFonts w:ascii="Times New Roman;sans-serif" w:hAnsi="Times New Roman;sans-serif"/>
          <w:b w:val="false"/>
          <w:color w:val="000000"/>
          <w:sz w:val="22"/>
        </w:rPr>
        <w:t>. No Loan Party is required to be registered as an “investment company” under the Investment Company Act of 1940, as amended.</w:t>
      </w:r>
    </w:p>
    <w:p>
      <w:pPr>
        <w:pStyle w:val="TextBody"/>
        <w:bidi w:val="0"/>
        <w:spacing w:lineRule="auto" w:line="288" w:before="0" w:after="240"/>
        <w:ind w:left="0" w:right="0" w:firstLine="720"/>
        <w:jc w:val="both"/>
        <w:rPr/>
      </w:pPr>
      <w:r>
        <w:rPr>
          <w:rFonts w:ascii="Times New Roman;sans-serif" w:hAnsi="Times New Roman;sans-serif"/>
          <w:b/>
          <w:color w:val="000000"/>
          <w:sz w:val="22"/>
        </w:rPr>
        <w:t>4.15    Subsidiaries</w:t>
      </w:r>
      <w:r>
        <w:rPr>
          <w:rFonts w:ascii="Times New Roman;sans-serif" w:hAnsi="Times New Roman;sans-serif"/>
          <w:b w:val="false"/>
          <w:color w:val="000000"/>
          <w:sz w:val="22"/>
        </w:rPr>
        <w:t>. As of the Closing Date (i) Schedule 4.15 sets forth the name and jurisdiction of organization or incorporation of each Subsidiary of the Borrower and, as to each such Subsidiary, the percentage of each class of Capital Stock owned by any Group Member, and (ii) except as set forth on Schedule 4.15, there are no outstanding subscriptions, options, warrants, calls, rights or other agreements or commitments (other than stock options granted to employees or directors and directors’ qualifying shares) of any nature relating to any Capital Stock of any Subsidiary, except as may be created by the Loan Documents (other than non-consensual Liens permitted by Section 7.3).</w:t>
      </w:r>
    </w:p>
    <w:p>
      <w:pPr>
        <w:pStyle w:val="TextBody"/>
        <w:bidi w:val="0"/>
        <w:spacing w:lineRule="auto" w:line="288" w:before="0" w:after="240"/>
        <w:ind w:left="0" w:right="0" w:firstLine="720"/>
        <w:jc w:val="both"/>
        <w:rPr/>
      </w:pPr>
      <w:r>
        <w:rPr>
          <w:rFonts w:ascii="Times New Roman;sans-serif" w:hAnsi="Times New Roman;sans-serif"/>
          <w:b/>
          <w:color w:val="000000"/>
          <w:sz w:val="22"/>
        </w:rPr>
        <w:t>4.16    Use of Proceeds</w:t>
      </w:r>
      <w:r>
        <w:rPr>
          <w:rFonts w:ascii="Times New Roman;sans-serif" w:hAnsi="Times New Roman;sans-serif"/>
          <w:b w:val="false"/>
          <w:color w:val="000000"/>
          <w:sz w:val="22"/>
        </w:rPr>
        <w:t>. The proceeds of the Initial Loans funded on the Closing Date shall be used on or after the Closing Date (or, with respect to the Existing Convertible Notes Redemption, on or prior to the scheduled maturity date therefor) to (i) consummate the Closing Date Transactions, (ii) pay the Closing Date Transaction Costs, (iii) consummate the Existing Convertible Notes Redemptions at or prior to the maturity date of the Existing Convertible Notes (and to pay fees, costs and expenses in connection therewith), and (iv) for working capital and general corporate purposes. The proceeds of the Delayed Draw Loans shall be used (i) to fund Permitted Acquisitions and to pay the related costs, fees and expenses in connection therewith, (ii) solely with respect to the Specified Acquisition and Carevive Acquisition, to fund deferred purchase price, earnouts or similar arrangements in connection with such acquisitions, and (3) upon prior written notice by Borrower to the Administrative Agent, to replenish cash on hand used by the Borrower to fund the purchase price of the Specified Acquisition, so long as the applicable Delayed Draw Loans are borrowed within 90 days after the consummation of the Specified Acquisition.</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560705"/>
                <wp:effectExtent l="0" t="0" r="0" b="0"/>
                <wp:wrapNone/>
                <wp:docPr id="202" name="Frame20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4.17    Environmental Matters</w:t>
      </w:r>
      <w:r>
        <w:rPr>
          <w:rFonts w:ascii="Times New Roman;sans-serif" w:hAnsi="Times New Roman;sans-serif"/>
          <w:b w:val="false"/>
          <w:color w:val="000000"/>
          <w:sz w:val="22"/>
        </w:rPr>
        <w:t>. Except as, in the aggregate, could not reasonably be expected to have a Material Adverse Effect:</w:t>
      </w:r>
      <w:r>
        <w:rPr>
          <w:color w:val="00000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To the knowledge of the Borrower, the facilities and properties owned, leased or operated by any Group Member (the “</w:t>
      </w:r>
      <w:r>
        <w:rPr>
          <w:rFonts w:ascii="Times New Roman;sans-serif" w:hAnsi="Times New Roman;sans-serif"/>
          <w:b/>
          <w:i/>
          <w:color w:val="000000"/>
          <w:sz w:val="22"/>
        </w:rPr>
        <w:t>Properties</w:t>
      </w:r>
      <w:r>
        <w:rPr>
          <w:color w:val="000000"/>
        </w:rPr>
        <w:t>”</w:t>
      </w:r>
      <w:r>
        <w:rPr>
          <w:rFonts w:ascii="Times New Roman;sans-serif" w:hAnsi="Times New Roman;sans-serif"/>
          <w:b w:val="false"/>
          <w:color w:val="000000"/>
          <w:sz w:val="22"/>
        </w:rPr>
        <w:t>) do not contain, and, to the knowledge of the Borrower and the Borrower, have not previously contained, any Materials of Environmental Concern in amounts or concentrations or under circumstances that constitute or have constituted a violation of, or could reasonably be expected to give rise to liability under, any Environmental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no Group Member has received or is aware of any notice of violation, alleged violation, non-compliance, liability or potential liability regarding environmental matters or compliance with Environmental Laws with regard to any of the Properties or the business operated by any Group Member (the “</w:t>
      </w:r>
      <w:r>
        <w:rPr>
          <w:rFonts w:ascii="Times New Roman;sans-serif" w:hAnsi="Times New Roman;sans-serif"/>
          <w:b/>
          <w:i/>
          <w:color w:val="000000"/>
          <w:sz w:val="22"/>
        </w:rPr>
        <w:t>Business</w:t>
      </w:r>
      <w:r>
        <w:rPr>
          <w:color w:val="000000"/>
        </w:rPr>
        <w:t>”</w:t>
      </w:r>
      <w:r>
        <w:rPr>
          <w:rFonts w:ascii="Times New Roman;sans-serif" w:hAnsi="Times New Roman;sans-serif"/>
          <w:b w:val="false"/>
          <w:color w:val="000000"/>
          <w:sz w:val="22"/>
        </w:rPr>
        <w:t>), nor does the Borrower have knowledge or reason to believe that any such notice will be received or is being threatened;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no Group Member has transported or disposed of Materials of Environmental Concern from the Properties in violation of, or in a manner or to a location that could reasonably be expected to give rise to liability under, any Environmental Law, nor has any Group Member generated, treated, stored or disposed of Materials of Environmental Concern at, on or under any of the Properties in violation of, or in a manner that could reasonably be expected to give rise to liability under, any applicable Environmental Law;</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no judicial proceeding or governmental or administrative action is pending or, to the knowledge of the Borrower, threatened in writing, under any Environmental Law to which any Group Member is or, to the knowledge of the Borrower,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there has been no release or threat of release of Materials of Environmental Concern at or from the Properties arising from or related to the operations of any Group Member or otherwise in connection with the Business, in violation of or in amounts or in a manner that could reasonably be expected to give rise to liability under Environmental Laws;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the Properties and all operations of the Group Members at the Properties are in compliance, and have in the last five years been in compliance, with all applicable Environmental Laws, and, to the knowledge of the Borrower, there is no contamination at, under or about the Properties or violation of any Environmental Law with respect to the Properties or the Business;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    no Group Member has assumed any liability of any other Person under Environmental Laws.</w:t>
      </w:r>
    </w:p>
    <w:p>
      <w:pPr>
        <w:pStyle w:val="TextBody"/>
        <w:bidi w:val="0"/>
        <w:spacing w:lineRule="auto" w:line="288" w:before="0" w:after="240"/>
        <w:ind w:left="0" w:right="0" w:firstLine="720"/>
        <w:jc w:val="both"/>
        <w:rPr/>
      </w:pPr>
      <w:r>
        <w:rPr>
          <w:rFonts w:ascii="Times New Roman;sans-serif" w:hAnsi="Times New Roman;sans-serif"/>
          <w:b/>
          <w:color w:val="000000"/>
          <w:sz w:val="22"/>
        </w:rPr>
        <w:t>4.18    Accuracy of Information, etc</w:t>
      </w:r>
      <w:r>
        <w:rPr>
          <w:rFonts w:ascii="Times New Roman;sans-serif" w:hAnsi="Times New Roman;sans-serif"/>
          <w:b w:val="false"/>
          <w:color w:val="000000"/>
          <w:sz w:val="22"/>
        </w:rPr>
        <w:t xml:space="preserve">. No written statement or other written information (other than projections, pro forma financial information and other forward looking information and information of a general economic or industry nature) contained in this Agreement, any other Loan Document or any other document or certificate furnished by or on behalf of any Loan Party to the Administrative Agent or the Lenders, or any of them, for use in connection with the transactions contemplated by this Agreement or the other Loan Documents, when taken as a whole, contained as of the date such statement, information, document or certificate was so furnished (as modified or supplemented by other information so furnished), any untrue statement of a material fact or omitted to state a material fact necessary to make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560705"/>
                <wp:effectExtent l="0" t="0" r="0" b="0"/>
                <wp:wrapNone/>
                <wp:docPr id="203" name="Frame20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the statements contained herein or therein (taken as a whole) not misleading in any material respect in light of the circumstances under which they were made. The projections and </w:t>
      </w:r>
      <w:r>
        <w:rPr>
          <w:rFonts w:ascii="Times New Roman;sans-serif" w:hAnsi="Times New Roman;sans-serif"/>
          <w:b w:val="false"/>
          <w:i/>
          <w:color w:val="000000"/>
          <w:sz w:val="22"/>
        </w:rPr>
        <w:t>pro forma</w:t>
      </w:r>
      <w:r>
        <w:rPr>
          <w:color w:val="000000"/>
        </w:rPr>
        <w:t xml:space="preserve"> </w:t>
      </w:r>
      <w:r>
        <w:rPr>
          <w:rFonts w:ascii="Times New Roman;sans-serif" w:hAnsi="Times New Roman;sans-serif"/>
          <w:b w:val="false"/>
          <w:color w:val="000000"/>
          <w:sz w:val="22"/>
        </w:rPr>
        <w:t xml:space="preserve">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w:t>
      </w:r>
    </w:p>
    <w:p>
      <w:pPr>
        <w:pStyle w:val="TextBody"/>
        <w:bidi w:val="0"/>
        <w:spacing w:lineRule="auto" w:line="288" w:before="0" w:after="240"/>
        <w:ind w:left="0" w:right="0" w:firstLine="720"/>
        <w:jc w:val="both"/>
        <w:rPr/>
      </w:pPr>
      <w:r>
        <w:rPr>
          <w:rFonts w:ascii="Times New Roman;sans-serif" w:hAnsi="Times New Roman;sans-serif"/>
          <w:b/>
          <w:color w:val="000000"/>
          <w:sz w:val="22"/>
        </w:rPr>
        <w:t>4.19    Security Documents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On the Closing Date, the Security Documents are effective to create in favor of the Administrative Agent, for the benefit of the Secured Parties, a legal, valid and enforceable security interest in the Collateral described therein and proceeds thereof. In the case of the Pledged Stock described in the Guarantee and Collateral Agreement that are securities represented by stock certificates or otherwise constituting certificated securities within the meaning of Section 8-102(a)(15) of the New York UCC or the corresponding code or statute of any other applicable jurisdiction (“</w:t>
      </w:r>
      <w:r>
        <w:rPr>
          <w:rFonts w:ascii="Times New Roman;sans-serif" w:hAnsi="Times New Roman;sans-serif"/>
          <w:b/>
          <w:i/>
          <w:color w:val="000000"/>
          <w:sz w:val="22"/>
        </w:rPr>
        <w:t>Certificated Securities</w:t>
      </w:r>
      <w:r>
        <w:rPr>
          <w:color w:val="000000"/>
        </w:rPr>
        <w:t>”</w:t>
      </w:r>
      <w:r>
        <w:rPr>
          <w:rFonts w:ascii="Times New Roman;sans-serif" w:hAnsi="Times New Roman;sans-serif"/>
          <w:b w:val="false"/>
          <w:color w:val="000000"/>
          <w:sz w:val="22"/>
        </w:rPr>
        <w:t xml:space="preserve">), to the extent certificates representing such Pledged Stock are delivered to the Administrative Agent, and in the case of the other Collateral described in the Security Documents, to the extent a lien thereon may be perfected by the filing of appropriate general “all asset” UCC-1 financing statements against each such Loan Party with the secretary of state of the state of incorporation or formation of each such Loan Party and appropriate filings with the U.S. Patent and Trademark Office and the U.S. Copyright Office, upon such filings, the Administrative Agent, for the benefit of the Secured Parties, shall have a fully perfected Lien on, and security interest in, all right, title and interest of the Loan Parties in such Collateral and the proceeds thereof, as security for the Obligations (and with respect to Collateral consisting of Capital Stock, such Lien shall be prior and superior in right to any other Person (except Liens permitted by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Each of the Mortgages, if any, that have been delivered to the Administrative Agent and executed by the parties thereto, are effective to create in favor of the Administrative Agent, for the benefit of the Secured Parties, a legal, valid and enforceable first priority Lien on the Mortgaged Properties described therein and proceeds thereof, and when the Mortgages are filed in the offices for the applicable jurisdictions in which the Mortgaged Properties are located, each such Mortgage shall constitute a fully perfected first priority Lien on, and security interest in, all right, title and interest of the Loan Parties in the Mortgaged Properties and the proceeds thereof, as security for the Obligations (as defined in the relevant Mortgage) (subject to Liens permitted by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4.20    Solvency; Voidable Transaction</w:t>
      </w:r>
      <w:r>
        <w:rPr>
          <w:rFonts w:ascii="Times New Roman;sans-serif" w:hAnsi="Times New Roman;sans-serif"/>
          <w:b w:val="false"/>
          <w:color w:val="000000"/>
          <w:sz w:val="22"/>
        </w:rPr>
        <w:t>. (a) The Borrower and its Subsidiaries, when taken as a whole, on a consolidated basis and immediately after giving effect to the incurrence of all Indebtedness, Obligations and obligations being incurred in connection herewith, are Solvent; and (b)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pStyle w:val="TextBody"/>
        <w:bidi w:val="0"/>
        <w:spacing w:lineRule="auto" w:line="288" w:before="0" w:after="240"/>
        <w:ind w:left="0" w:right="0" w:firstLine="720"/>
        <w:jc w:val="both"/>
        <w:rPr/>
      </w:pPr>
      <w:r>
        <w:rPr>
          <w:rFonts w:ascii="Times New Roman;sans-serif" w:hAnsi="Times New Roman;sans-serif"/>
          <w:b/>
          <w:color w:val="000000"/>
          <w:sz w:val="22"/>
        </w:rPr>
        <w:t>4.21    [Reserved]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2"/>
        </w:rPr>
        <w:t>4.22    Compliance with Health Care Laws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Borrower and each of its Subsidiaries is now in compliance with any applicable Health Care Laws, except for any instances of noncompliance or where any such liability could not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560705"/>
                <wp:effectExtent l="0" t="0" r="0" b="0"/>
                <wp:wrapNone/>
                <wp:docPr id="204" name="Frame20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reasonably be expected to have a Material Adverse Effect. The Borrower and any Subsidiary has not, during the past three (3) years, received any written notice of any violation, delinquency or liability with respect to any applicable Health Care Law that could reasonably be expected to have a Material Adverse Effect.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Borrower and each of its Subsidiaries, have obtained, maintain, and are in compliance in all material respects with all material Health Care Permits applicable to them or to the conduct or operation of the business. All such material Health Care Permits are in full force and effect. No revocation, termination, limitation, withdrawal or inability to renew any such material Health Care Permits is pending or, to the Borrower’s or any of its Subsidiaries’ knowledge, threatened in writing. All filings and registrations where necessary for the renewal or reissuance of any material Health Care Permits have been timely submitted to the appropriate Governmental Authority. To the Borrower’s or any of its Subsidiaries’ knowledge, no event has occurred which, in itself or with the giving of notice or lapse of time or both, has resulted or could reasonably be expected to result in the suspension, revocation, termination or material restriction of any material Health Care Permit necessary to conduct business or operations as presently conducted.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[Reserved].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The Borrower and each of its Subsidiaries has not received written notice of, or been subject to, any finding of deficiency or non-compliance, penalty, fine or sanction, investigation, request for corrective or remedial action or other compliance or enforcement action, in respect of any of the products or services provided to its customers, in each case where any of the foregoing could reasonably be expected to have a Material Adverse Effect.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No Borrower, Subsidiary or, to the knowledge of any Loan Party or its Subsidiaries, any owner, officer, director, partner, agent, employee, independent contractor or Person who, in each case, is a “person with a direct or indirect ownership or control interest” or is a “managing employee” (as those terms are defined in 42 C.F.R. § 420.201) in any Loan Party, is or, during the past three years, has been (or, has been threatened in writing to be) (i) debarred, suspended or excluded from any Government Program pursuant to 42 U.S.C. §1320a-7 and related regulations; or (ii) “suspended” or “debarred” from selling products to the U.S. government or its agencies pursuant to the Federal Acquisition Regulation, relating to debarment and suspension applicable to federal government agencies generally (48 C.F.R. Subpart 9.4). None of the Loan Parties, their Subsidiaries, or, to the knowledge of any Loan Party or its Subsidiaries, any of their respective officers, directors, controlled agents or managing employees of the foregoing, is a party to or bound by any individual integrity agreement, corporate integrity agreement, corporate compliance agreement, deferred prosecution agreement, or other formal or informal agreement with any Governmental Authority concerning compliance with applicable Health Care Laws, except where such agreement could not reasonably be expected to have a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There is no pending investigation, non-ordinary course audit, claim review, arbitration, action or other proceeding, against any Loan Party or its Subsidiaries or, relating to any actual or alleged material violation, in any material respect, of any such Loan Party or its Subsidiaries with any applicable Health Care Law.</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2"/>
        </w:rPr>
        <w:t xml:space="preserve">(g)    Except as could not reasonably be expected to have a Material Adverse Effect, the Borrower and its Subsidiaries have, during the past three (3) years: (i) implemented commercially reasonable privacy and security policies and procedures that comply with HIPAA, (ii) conducted enterprise-wide security risk analyses, and implemented a risk management program to mitigate any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560705"/>
                <wp:effectExtent l="0" t="0" r="0" b="0"/>
                <wp:wrapNone/>
                <wp:docPr id="205" name="Frame20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material risks identified in such analyses, in accordance with the HIPAA Security Rule, (iii) entered into signed and HIPAA-compliant business associate agreements with each Person that is a “covered entity” (as defined in 45 C.F.R. § 160.103) and Subcontractor (as defined in HIPAA) business associate, (iv) trained its workforce with respect to the Borrower and its Subsidiary’s obligations under HIPAA, as applicable, (v) to the extent applicable, de-identified PHI in compliance with all business associate agreements and HIPAA requirements, and (vi) used and disclosed PHI in compliance with HIPAA. During the past three (3) years, (i) the Borrower and its Subsidiaries have complied in all material respects with HIPAA, (ii) neither the Borrower nor its Subsidiaries have received written notice of, and to the knowledge of the Group Members, there is no litigation, proceeding or inquiry or investigation pending or threatened in writing with respect to any alleged “breach” as defined in 45 C.F.R. § 164.402 (a “</w:t>
      </w:r>
      <w:r>
        <w:rPr>
          <w:rFonts w:ascii="Times New Roman;sans-serif" w:hAnsi="Times New Roman;sans-serif"/>
          <w:b/>
          <w:i/>
          <w:color w:val="000000"/>
          <w:sz w:val="22"/>
        </w:rPr>
        <w:t>Breach</w:t>
      </w:r>
      <w:r>
        <w:rPr>
          <w:color w:val="000000"/>
        </w:rPr>
        <w:t>”</w:t>
      </w:r>
      <w:r>
        <w:rPr>
          <w:rFonts w:ascii="Times New Roman;sans-serif" w:hAnsi="Times New Roman;sans-serif"/>
          <w:b w:val="false"/>
          <w:color w:val="000000"/>
          <w:sz w:val="22"/>
        </w:rPr>
        <w:t>) or any other violation of HIPAA by the Company or its Subsidiaries or their “workforce” (as defined under HIPAA), and (iii) to the knowledge of the Group Members, no Breach or “security incident” (as defined by HIPAA) has occurred with respect to PHI in the possession or under the control of the Borrower or its Subsidiaries that has required notice to any Person under HIPAA, in each case of clauses (i) through (ii), except as could not reasonably be expected to have a Material Adverse Effect.</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2"/>
        </w:rPr>
        <w:t>(h)    Except as could not reasonably be expected to have a Material Adverse Effect, (i) the Borrower and its Subsidiaries are in compliance with all Data Privacy Laws applicable to the operations of the business, and (ii) to the knowledge of the group Members, none of the Borrower or Subsidiaries is being or during the past three (3) years has been audited and/or investigated by the U.S. Department of Health and Human Services’ Office for Civil Rights or any other Governmental Authority regarding compliance with applicable Data Privacy Laws.</w:t>
      </w:r>
    </w:p>
    <w:p>
      <w:pPr>
        <w:pStyle w:val="TextBody"/>
        <w:bidi w:val="0"/>
        <w:spacing w:lineRule="auto" w:line="288" w:before="0" w:after="240"/>
        <w:ind w:left="0" w:right="0" w:firstLine="720"/>
        <w:jc w:val="both"/>
        <w:rPr/>
      </w:pPr>
      <w:r>
        <w:rPr>
          <w:rFonts w:ascii="Times New Roman;sans-serif" w:hAnsi="Times New Roman;sans-serif"/>
          <w:b/>
          <w:color w:val="000000"/>
          <w:sz w:val="22"/>
        </w:rPr>
        <w:t>4.23    [Reserved]</w:t>
      </w:r>
      <w:r>
        <w:rPr>
          <w:rFonts w:ascii="Times New Roman;sans-serif" w:hAnsi="Times New Roman;sans-serif"/>
          <w:b w:val="false"/>
          <w:color w:val="000000"/>
          <w:sz w:val="22"/>
        </w:rPr>
        <w:t>.</w:t>
      </w:r>
      <w:r>
        <w:rPr>
          <w:color w:val="000000"/>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2"/>
        </w:rPr>
        <w:t>4.24    </w:t>
      </w:r>
      <w:r>
        <w:rPr>
          <w:rFonts w:ascii="Times New Roman;sans-serif" w:hAnsi="Times New Roman;sans-serif"/>
          <w:b w:val="false"/>
          <w:color w:val="000000"/>
          <w:sz w:val="22"/>
        </w:rPr>
        <w:t>Insurance. Except as could reasonably be expected to have a Material Adverse Effect, all insurance maintained by the Loan Parties is in full force and effect, all premiums thereon have been duly paid (which, for the avoidance of doubt, includes premiums paid on a periodic basis), no Loan Party has received notice of violation or cancellation thereof, and there exists no default under any requirement of such insurance. Each Loan Party maintains insurance with financially sound and reputable insurance companies on its property in at least such amounts (after giving effect to any self-insurance which the Borrower believes (in the good faith judgment of management of the Borrower) is reasonable and prudent in light of the size and nature of its business) and against at least such risks as are usually insured against in the same general area by companies engaged in the same or a similar business (in the good faith judgment of the Borrower).</w:t>
      </w:r>
    </w:p>
    <w:p>
      <w:pPr>
        <w:pStyle w:val="TextBody"/>
        <w:bidi w:val="0"/>
        <w:spacing w:lineRule="auto" w:line="288" w:before="0" w:after="240"/>
        <w:ind w:left="0" w:right="0" w:firstLine="720"/>
        <w:jc w:val="both"/>
        <w:rPr/>
      </w:pPr>
      <w:r>
        <w:rPr>
          <w:rFonts w:ascii="Times New Roman;sans-serif" w:hAnsi="Times New Roman;sans-serif"/>
          <w:b/>
          <w:color w:val="000000"/>
          <w:sz w:val="22"/>
        </w:rPr>
        <w:t>4.25    [Reserved]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4.26    [Reserved]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4.27    [Reserved]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4.28    Sanctions; Anti-Corruption Laws; Anti-Money Laundering Laws</w:t>
      </w:r>
      <w:r>
        <w:rPr>
          <w:rFonts w:ascii="Times New Roman;sans-serif" w:hAnsi="Times New Roman;sans-serif"/>
          <w:b w:val="false"/>
          <w:color w:val="000000"/>
          <w:sz w:val="22"/>
        </w:rPr>
        <w:t>. None the Borrower or any of its Subsidiaries, or any of the respective officers or directors or, to the knowledge of the Borrower and each Group Member, employees or agents of the Borrower or any of its Subsidiaries is a Sanctioned Person. None of the Borrower or any of its Subsidiaries: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has knowingly engaged, in the past five (5) years, or is engaging presently, in any dealings in, with or involving any Sanctioned Jurisdiction or with or involving any Sanctioned Person in violation of Sanctions;</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560705"/>
                <wp:effectExtent l="0" t="0" r="0" b="0"/>
                <wp:wrapNone/>
                <wp:docPr id="206" name="Frame20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has violated, at any time during the past five (5) years, any applicable Anti-Money Laundering Laws, Anti-Corruption Laws, or Sanctions;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has been, in the past five (5) years, or is presently, the subject of any action, proceeding, litigation, claim or, to the knowledge of the Borrower and each Group Member, investigation by any Governmental Authority with regard to any actual or alleged violation of applicable Anti-Corruption Laws, Anti-Money Laundering Laws, or Sanctions; 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has used, contributed or otherwise made available any part of the proceeds of any Loan or extension of credit hereunder, whether directly or knowingly indirectly, (i) for the purpose of funding or facilitating any dealings or activities of or with any Sanctioned Person or in or involving any Sanctioned Jurisdiction, (ii) in violation of any applicable Anti-Corruption Laws or Anti-Money Laundering Laws, or (iii) in any other manner that would constitute or give rise to a violation of Sanctions by any party hereto.</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Subject in all respects to Section 5.3, each of the Borrower and its Subsidiaries has implemented and maintained, or been subject to, policies and procedures designed to promote and achieve compliance with applicable Sanctions, Anti-Corruption Laws, and Anti-Money Laundering Laws.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SECTION 5</w:t>
        <w:br/>
        <w:t>CONDITIONS PRECEDENT</w:t>
      </w:r>
    </w:p>
    <w:p>
      <w:pPr>
        <w:pStyle w:val="TextBody"/>
        <w:bidi w:val="0"/>
        <w:spacing w:lineRule="auto" w:line="288" w:before="0" w:after="240"/>
        <w:ind w:left="0" w:right="0" w:firstLine="720"/>
        <w:jc w:val="both"/>
        <w:rPr/>
      </w:pPr>
      <w:r>
        <w:rPr>
          <w:rFonts w:ascii="Times New Roman;sans-serif" w:hAnsi="Times New Roman;sans-serif"/>
          <w:b/>
          <w:color w:val="000000"/>
          <w:sz w:val="22"/>
        </w:rPr>
        <w:t>5.1    Conditions to Initial Extension of Credit</w:t>
      </w:r>
      <w:r>
        <w:rPr>
          <w:rFonts w:ascii="Times New Roman;sans-serif" w:hAnsi="Times New Roman;sans-serif"/>
          <w:b w:val="false"/>
          <w:color w:val="000000"/>
          <w:sz w:val="22"/>
        </w:rPr>
        <w:t>. The effectiveness of this Agreement and the obligation of each Lender to make its initial extension of credit hereunder (the “</w:t>
      </w:r>
      <w:r>
        <w:rPr>
          <w:rFonts w:ascii="Times New Roman;sans-serif" w:hAnsi="Times New Roman;sans-serif"/>
          <w:b/>
          <w:i/>
          <w:color w:val="000000"/>
          <w:sz w:val="22"/>
        </w:rPr>
        <w:t>Initial Credit Extension</w:t>
      </w:r>
      <w:r>
        <w:rPr>
          <w:color w:val="000000"/>
        </w:rPr>
        <w:t>”</w:t>
      </w:r>
      <w:r>
        <w:rPr>
          <w:rFonts w:ascii="Times New Roman;sans-serif" w:hAnsi="Times New Roman;sans-serif"/>
          <w:b w:val="false"/>
          <w:color w:val="000000"/>
          <w:sz w:val="22"/>
        </w:rPr>
        <w:t xml:space="preserve">) shall be subject to the satisfaction (or waiver by the Lenders), prior to or concurrently with the making of such extension of credit on the Closing Date, of the following conditions precedent: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Loan Documents</w:t>
      </w:r>
      <w:r>
        <w:rPr>
          <w:rFonts w:ascii="Times New Roman;sans-serif" w:hAnsi="Times New Roman;sans-serif"/>
          <w:b w:val="false"/>
          <w:color w:val="000000"/>
          <w:sz w:val="22"/>
        </w:rPr>
        <w:t>. The Administrative Agent shall have received each of the following, each of which shall be in form and substance satisfactory to the Administrative Agent:</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this Agreement, executed and delivered by the Administrative Agent, the Borrower, each Guarantor and each Lender;</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the Intercompany Loan Subordination Agreement; </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(iii)    if required by any Lender, a Note executed by the Borrower in favor of such Lender to the extent requested by such Lender in writing at least three (3) Business Days prior to the Closing Date;</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    the Guarantee and Collateral Agreement, executed and delivered by the Borrower and each Guarantor; </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    each applicable Intellectual Property Security Agreement, executed by the applicable Grantor related thereto; and</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(vi)    a Notice of Borrowing, executed by the Borrower.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No Indebtedness</w:t>
      </w:r>
      <w:r>
        <w:rPr>
          <w:rFonts w:ascii="Times New Roman;sans-serif" w:hAnsi="Times New Roman;sans-serif"/>
          <w:b w:val="false"/>
          <w:color w:val="000000"/>
          <w:sz w:val="22"/>
        </w:rPr>
        <w:t xml:space="preserve">. On the Closing Date, immediately after giving effect to the Closing Date Transactions, none of the Borrower or its Subsidiaries shall have any Indebtedness for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560705"/>
                <wp:effectExtent l="0" t="0" r="0" b="0"/>
                <wp:wrapNone/>
                <wp:docPr id="207" name="Frame20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89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borrowed money other than the Initial Loans, the Existing Convertible Notes and other Indebtedness permitted under Section 7.2.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Material Actions</w:t>
      </w:r>
      <w:r>
        <w:rPr>
          <w:rFonts w:ascii="Times New Roman;sans-serif" w:hAnsi="Times New Roman;sans-serif"/>
          <w:b w:val="false"/>
          <w:color w:val="000000"/>
          <w:sz w:val="22"/>
        </w:rPr>
        <w:t xml:space="preserve">. From June 25, 2024 until the Closing Date, none of the Borrower nor any of its Subsidiaries shall have (i) sold, transferred, abandoned or otherwise Disposed of (including by way of dividend) (x) any material Intellectual Property or (y) any assets with a value in excess of $10,000,000 in the aggregate, in each case other than intercompany transfers among the Borrower and its Subsidiaries, or (ii) acquired, by merger or consolidation or otherwise, or merged or consolidated with, or purchased all or a substantial portion of, any Person or any equity interests thereof, in each case, in an amount in excess of $10,000,000, in any single transaction or series of related transactions.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Lien and Judgment Searches</w:t>
      </w:r>
      <w:r>
        <w:rPr>
          <w:rFonts w:ascii="Times New Roman;sans-serif" w:hAnsi="Times New Roman;sans-serif"/>
          <w:b w:val="false"/>
          <w:color w:val="000000"/>
          <w:sz w:val="22"/>
        </w:rPr>
        <w:t xml:space="preserve">. The Administrative Agent shall have received: </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the results of a customary U.S. Lien search (including a search as to judgments, pending litigation, bankruptcy and Tax matters) made against the Loan Parties under the UCC (or applicable judicial docket) as in effect in each jurisdiction in which filings or recordations under the UCC should be made to evidence or perfect security interests in all assets of such Loan Party, in each case to the extent requested in writing by the Administrative Agent to the Borrower at least fifteen (15) Business Days prior to the Closing Date; and</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    searches of ownership of Intellectual Property with respect to each Loan Party in the United States Patent and Trademark Office and United States Copyright Office.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Director’s, Secretary’s or Managing Member’s Certificates; Certified Operating Documents; Good Standing Certificates.</w:t>
      </w:r>
      <w:r>
        <w:rPr>
          <w:color w:val="000000"/>
        </w:rPr>
        <w:t xml:space="preserve"> </w:t>
      </w:r>
      <w:r>
        <w:rPr>
          <w:rFonts w:ascii="Times New Roman;sans-serif" w:hAnsi="Times New Roman;sans-serif"/>
          <w:b w:val="false"/>
          <w:color w:val="000000"/>
          <w:sz w:val="22"/>
        </w:rPr>
        <w:t xml:space="preserve">The Administrative Agent shall have received (i) a certificate of each Loan Party, dated the Closing Date and executed by a Responsible Officer of such Loan Party, attaching (A) the Operating Documents of such Loan Party, (B) the relevant board resolutions, shareholder resolutions (if required) or written consents of such Loan Party adopted by the applicable governing body of such Loan Party for the purposes of authorizing such Loan Party to enter into and perform the Loan Documents to which such Loan Party is party and (C) the names, titles, incumbency and signature specimens of those representatives of such Loan Party who have been authorized by such resolutions and/or written consents to execute Loan Documents on behalf of such Loan Party who will execute a Loan Document on behalf of such Loan Party on the Closing Date and (ii) a good standing certificate or equivalent for each Loan Party from its respective jurisdiction of organization or incorporation.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Responsible Officer’s Certificate.</w:t>
      </w:r>
      <w:r>
        <w:rPr>
          <w:color w:val="000000"/>
        </w:rPr>
        <w:t xml:space="preserve"> </w:t>
      </w:r>
      <w:r>
        <w:rPr>
          <w:rFonts w:ascii="Times New Roman;sans-serif" w:hAnsi="Times New Roman;sans-serif"/>
          <w:b w:val="false"/>
          <w:color w:val="000000"/>
          <w:sz w:val="22"/>
        </w:rPr>
        <w:t>The Administrative Agent shall have received a certificate signed by a Responsible Officer of the Borrower, dated as of the Closing Date and in form and substance reasonably satisfactory to it, certifying that the conditions specified in Sections 5.1(l) and (q) have been satisfied (including backup calculations for the financial tests outlined in Section 5.1(q)).</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Patriot Act, etc.</w:t>
      </w:r>
      <w:r>
        <w:rPr>
          <w:color w:val="000000"/>
        </w:rPr>
        <w:t xml:space="preserve"> </w:t>
      </w:r>
      <w:r>
        <w:rPr>
          <w:rFonts w:ascii="Times New Roman;sans-serif" w:hAnsi="Times New Roman;sans-serif"/>
          <w:b w:val="false"/>
          <w:color w:val="000000"/>
          <w:sz w:val="22"/>
        </w:rPr>
        <w:t xml:space="preserve">The Administrative Agent shall have received at least three (3) Business Days prior to the Closing Date (A) all documentation and other information about the Borrower and the Guarantors as has been reasonably requested in writing at least ten (10) Business Days prior to the Closing Date by the Lenders (through the Administrative Agent) that they reasonably determine is required by regulatory authorities under applicable “know your customer” and Anti-Money Laundering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560705"/>
                <wp:effectExtent l="0" t="0" r="0" b="0"/>
                <wp:wrapNone/>
                <wp:docPr id="208" name="Frame20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Laws, including the PATRIOT Act (but excluding any beneficial ownership information, which is covered solely by clause (B) below) and (B) if the Borrower qualifies as a “legal entity” customer under 31 C.F.R. §1010.230 and the Administrative Agent has requested in writing such certification at least ten (10) business days prior to the Closing Date, a beneficial ownership certification in relation to the Borrower (which certification shall be in the form of the LSTA form beneficial ownership certification (the “</w:t>
      </w:r>
      <w:r>
        <w:rPr>
          <w:rFonts w:ascii="Times New Roman;sans-serif" w:hAnsi="Times New Roman;sans-serif"/>
          <w:b/>
          <w:i/>
          <w:color w:val="000000"/>
          <w:sz w:val="22"/>
        </w:rPr>
        <w:t>LSTA UBO Form</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[Reserved].</w:t>
      </w:r>
      <w:r>
        <w:rPr>
          <w:color w:val="00000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[Reserved].</w:t>
      </w:r>
      <w:r>
        <w:rPr>
          <w:color w:val="00000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(k)    </w:t>
      </w:r>
      <w:r>
        <w:rPr>
          <w:rFonts w:ascii="Times New Roman;sans-serif" w:hAnsi="Times New Roman;sans-serif"/>
          <w:b w:val="false"/>
          <w:color w:val="000000"/>
          <w:sz w:val="22"/>
          <w:u w:val="single"/>
        </w:rPr>
        <w:t>Collateral Matters</w:t>
      </w:r>
      <w:r>
        <w:rPr>
          <w:rFonts w:ascii="Times New Roman;sans-serif" w:hAnsi="Times New Roman;sans-serif"/>
          <w:b w:val="false"/>
          <w:color w:val="000000"/>
          <w:sz w:val="22"/>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Filings, Registrations, Recordings, Agreements, Etc.</w:t>
      </w:r>
      <w:r>
        <w:rPr>
          <w:color w:val="000000"/>
        </w:rPr>
        <w:t xml:space="preserve"> </w:t>
      </w:r>
      <w:r>
        <w:rPr>
          <w:rFonts w:ascii="Times New Roman;sans-serif" w:hAnsi="Times New Roman;sans-serif"/>
          <w:b w:val="false"/>
          <w:color w:val="000000"/>
          <w:sz w:val="22"/>
        </w:rPr>
        <w:t xml:space="preserve">Except as expressly set forth in </w:t>
      </w:r>
      <w:r>
        <w:rPr>
          <w:rFonts w:ascii="Times New Roman;sans-serif" w:hAnsi="Times New Roman;sans-serif"/>
          <w:b w:val="false"/>
          <w:color w:val="000000"/>
          <w:sz w:val="22"/>
          <w:u w:val="single"/>
        </w:rPr>
        <w:t>Section 5.3</w:t>
      </w:r>
      <w:r>
        <w:rPr>
          <w:rFonts w:ascii="Times New Roman;sans-serif" w:hAnsi="Times New Roman;sans-serif"/>
          <w:b w:val="false"/>
          <w:color w:val="000000"/>
          <w:sz w:val="22"/>
        </w:rPr>
        <w:t xml:space="preserve">, and subject to the Perfection Exceptions and the thresholds, carveouts, limitations, deadlines and exceptions set forth in the Security Documents, each document (including any UCC financing statements and Intellectual Property Security Agreements) required by the Security Documents or under applicable law to be filed, registered or recorded on the Closing Date to create in favor of the Administrative Agent (for the benefit of the Secured Parties), a perfected Lien on the Collateral described therein, prior and superior in right and priority to any Lien in the Collateral held by any other Person (other than with respect to Liens expressly permitted by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 xml:space="preserve">), shall have been executed and delivered to the Administrative Agent or, as applicable, be in proper form for filing, registration or recordation, or satisfactory arrangements shall have been made or agreed for such execution, delivery, filing or registration;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no Intellectual Property filings or searches shall be required outside of the United States.</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 xml:space="preserve">(ii)    Except as expressly set forth in </w:t>
      </w:r>
      <w:r>
        <w:rPr>
          <w:rFonts w:ascii="Times New Roman;sans-serif" w:hAnsi="Times New Roman;sans-serif"/>
          <w:b w:val="false"/>
          <w:color w:val="000000"/>
          <w:sz w:val="22"/>
          <w:u w:val="single"/>
        </w:rPr>
        <w:t>Section 5.3</w:t>
      </w:r>
      <w:r>
        <w:rPr>
          <w:rFonts w:ascii="Times New Roman;sans-serif" w:hAnsi="Times New Roman;sans-serif"/>
          <w:b w:val="false"/>
          <w:color w:val="000000"/>
          <w:sz w:val="22"/>
        </w:rPr>
        <w:t xml:space="preserve">, in connection with the pledge of the Capital Stock of each Guarantor and each Subsidiary thereof, and the pledge of Indebtedness owing to the Loan Parties, in each case to the extent required under the Security Documents, the Borrower and each applicable Guarantor and each Subsidiary thereof will deliver, or cause to be delivered, to the Administrative Agent, to the extent required under the Security Documents, an original stock certificate or other instruments representing such pledged Capital Stock or Indebtedness, together with customary blank stock or other equity transfer powers and instruments of transfer and irrevocable powers duly executed in blank.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in this Section 5.1 to the contrary, to the extent any liens on the Collateral have not attached or are not perfected on the Closing Date (other than to the extent that a lien on such Collateral may be perfected by (A) the filing of a general “all assets” financing statement under the Uniform Commercial Code, (B) the delivery of Certificated Securities representing Capital Stock of the wholly-owned material domestic Subsidiaries of the Borrower or (C) the delivery of Intellectual Property Security Agreements) after the Borrower’s use of commercially reasonable efforts to do so, such attachment or perfection will not constitute a condition precedent to the Initial Credit Extension on the Closing Date, but will be required in accordance with Section 5.3.</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(l)    </w:t>
      </w:r>
      <w:r>
        <w:rPr>
          <w:rFonts w:ascii="Times New Roman;sans-serif" w:hAnsi="Times New Roman;sans-serif"/>
          <w:b w:val="false"/>
          <w:color w:val="000000"/>
          <w:sz w:val="22"/>
          <w:u w:val="single"/>
        </w:rPr>
        <w:t>Specified Representations</w:t>
      </w:r>
      <w:r>
        <w:rPr>
          <w:rFonts w:ascii="Times New Roman;sans-serif" w:hAnsi="Times New Roman;sans-serif"/>
          <w:b w:val="false"/>
          <w:color w:val="000000"/>
          <w:sz w:val="22"/>
        </w:rPr>
        <w:t xml:space="preserve">. The Specified Representations shall be true and correct in all material respects on the Closing Date (unless any such representations and warranties relate to an earlier date, in which case, such Specified Representations shall have been true and correct in all material respects as of such earlier date).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560705"/>
                <wp:effectExtent l="0" t="0" r="0" b="0"/>
                <wp:wrapNone/>
                <wp:docPr id="209" name="Frame20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(m)    </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 All fees required to be paid on the Closing Date pursuant to the Fee Letter and reasonable and documented out-of-pocket expenses required to be paid on the Closing Date pursuant to the Commitment Letter (and the Reimbursement Letter referred to therein) entered into between the Borrower and Silver Point on June 25, 2024, to the extent invoiced at least two (2) Business Days prior to the Closing Date, shall, upon the initial borrowing under the Facilities, have been paid (which amounts may be offset against the proceeds of the Initial Loans), and the Administrative Agent shall have received a customary closing funds flow memorandum with respect to the Closing Date Transactions.</w:t>
      </w:r>
      <w:r>
        <w:rPr>
          <w:color w:val="000000"/>
          <w:shd w:fill="FFFF00" w:val="clear"/>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(n)    </w:t>
      </w:r>
      <w:r>
        <w:rPr>
          <w:rFonts w:ascii="Times New Roman;sans-serif" w:hAnsi="Times New Roman;sans-serif"/>
          <w:b w:val="false"/>
          <w:color w:val="000000"/>
          <w:sz w:val="22"/>
          <w:u w:val="single"/>
        </w:rPr>
        <w:t>Legal Opinions</w:t>
      </w:r>
      <w:r>
        <w:rPr>
          <w:rFonts w:ascii="Times New Roman;sans-serif" w:hAnsi="Times New Roman;sans-serif"/>
          <w:b w:val="false"/>
          <w:color w:val="000000"/>
          <w:sz w:val="22"/>
        </w:rPr>
        <w:t>. The Administrative Agent shall have received an executed customary legal opinion of Latham &amp; Watkins LLP, counsel to the Loan Parties, in form and substance reasonably satisfactory to the Administrative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(o)    </w:t>
      </w:r>
      <w:r>
        <w:rPr>
          <w:rFonts w:ascii="Times New Roman;sans-serif" w:hAnsi="Times New Roman;sans-serif"/>
          <w:b w:val="false"/>
          <w:color w:val="000000"/>
          <w:sz w:val="22"/>
          <w:u w:val="single"/>
        </w:rPr>
        <w:t>Solvency Certificate</w:t>
      </w:r>
      <w:r>
        <w:rPr>
          <w:rFonts w:ascii="Times New Roman;sans-serif" w:hAnsi="Times New Roman;sans-serif"/>
          <w:b w:val="false"/>
          <w:color w:val="000000"/>
          <w:sz w:val="22"/>
        </w:rPr>
        <w:t xml:space="preserve">. The Administrative Agent shall have received a Solvency Certificate from the chief financial officer (or other officer with equivalent duties) of the Borrower.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(p)    </w:t>
      </w:r>
      <w:r>
        <w:rPr>
          <w:rFonts w:ascii="Times New Roman;sans-serif" w:hAnsi="Times New Roman;sans-serif"/>
          <w:b w:val="false"/>
          <w:color w:val="000000"/>
          <w:sz w:val="22"/>
          <w:u w:val="single"/>
        </w:rPr>
        <w:t>Material Adverse Effect</w:t>
      </w:r>
      <w:r>
        <w:rPr>
          <w:rFonts w:ascii="Times New Roman;sans-serif" w:hAnsi="Times New Roman;sans-serif"/>
          <w:b w:val="false"/>
          <w:color w:val="000000"/>
          <w:sz w:val="22"/>
        </w:rPr>
        <w:t>. Since June 25, 2024, no Material Adverse Effect shall have occurred and be continuing.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(q)    </w:t>
      </w:r>
      <w:r>
        <w:rPr>
          <w:rFonts w:ascii="Times New Roman;sans-serif" w:hAnsi="Times New Roman;sans-serif"/>
          <w:b w:val="false"/>
          <w:color w:val="000000"/>
          <w:sz w:val="22"/>
          <w:u w:val="single"/>
        </w:rPr>
        <w:t>Closing Leverage</w:t>
      </w:r>
      <w:r>
        <w:rPr>
          <w:rFonts w:ascii="Times New Roman;sans-serif" w:hAnsi="Times New Roman;sans-serif"/>
          <w:b w:val="false"/>
          <w:color w:val="000000"/>
          <w:sz w:val="22"/>
        </w:rPr>
        <w:t>. Immediately after giving effect to the Closing Date Transactions, (i) the ARR Total Leverage Ratio does not exceed 0.67:1.00, calculated on a Pro Forma Basis as of the end of the most recent Test Period, (ii) the ARR Net Leverage Ratio does not exceed 0.00:1.00, calculated on a Pro Forma Basis as of the end of the most recent Test Period and (iii) Liquidity is not less than $175,000,000.</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determining compliance with the conditions specified in this Section 5.1, (i) each Lender that has executed this Agreement shall be deemed to have consented to, approved or accepted or to be satisfied with, each document or other matter either sent (or made available) by the Administrative Agent to such Lender for consent, approval, acceptance or satisfaction, or required thereunder to be consented to or approved by or acceptable or satisfactory to such Lender, unless an officer of the Administrative Agent responsible for the transactions contemplated by the Loan Documents shall have received notice from such Lender prior to the Closing Date specifying such Lender’s objection thereto and either such objection shall not have been withdrawn by notice to the Administrative Agent to that effect on or prior to the Closing Date or, if any extension of credit on the Closing Date has been requested, such Lender shall not have made available to the Administrative Agent on or prior to the Closing Date such Lender’s Term Percentage of such requested extension of credit and (ii) the Closing Date Transactions and the other transactions occurring (or to occur) on the Closing Date in accordance with, and as expressly set forth in, the funds flow memorandum delivered to (and approved by) the Administrative Agent shall be deemed to occur and have occurred substantially simultaneously with the Initial Credit Extension.</w:t>
      </w:r>
    </w:p>
    <w:p>
      <w:pPr>
        <w:pStyle w:val="TextBody"/>
        <w:bidi w:val="0"/>
        <w:spacing w:lineRule="auto" w:line="288" w:before="0" w:after="240"/>
        <w:ind w:left="0" w:right="0" w:firstLine="720"/>
        <w:jc w:val="both"/>
        <w:rPr/>
      </w:pPr>
      <w:r>
        <w:rPr>
          <w:rFonts w:ascii="Times New Roman;sans-serif" w:hAnsi="Times New Roman;sans-serif"/>
          <w:b/>
          <w:color w:val="000000"/>
          <w:sz w:val="22"/>
        </w:rPr>
        <w:t>5.2    Conditions to Each Extension of Credit</w:t>
      </w:r>
      <w:r>
        <w:rPr>
          <w:rFonts w:ascii="Times New Roman;sans-serif" w:hAnsi="Times New Roman;sans-serif"/>
          <w:b w:val="false"/>
          <w:color w:val="000000"/>
          <w:sz w:val="22"/>
        </w:rPr>
        <w:t>. The agreement of each Lender to make any extension of credit requested to be made by it on any date after the Closing Date (not including the Initial Credit Extension, and as otherwise may be limited in respect of certain conditions precedent as set forth in Section 1.5 with respect to any extension of credit in connection with a Limited Condition Acquisition) is subject to the satisfaction (or waiver by the Required Lenders) of the following conditions precedent:</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560705"/>
                <wp:effectExtent l="0" t="0" r="0" b="0"/>
                <wp:wrapNone/>
                <wp:docPr id="210" name="Frame2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Each of the representations and warranties made by each Loan Party in or pursuant to any Loan Document (i) that is qualified by materiality shall be true and correct in all respects,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as of such earlier date (or all respects to the extent such representation and warranty is qualified by materiality).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Notices of Borrowing.</w:t>
      </w:r>
      <w:r>
        <w:rPr>
          <w:color w:val="000000"/>
        </w:rPr>
        <w:t xml:space="preserve"> </w:t>
      </w:r>
      <w:r>
        <w:rPr>
          <w:rFonts w:ascii="Times New Roman;sans-serif" w:hAnsi="Times New Roman;sans-serif"/>
          <w:b w:val="false"/>
          <w:color w:val="000000"/>
          <w:sz w:val="22"/>
        </w:rPr>
        <w:t>The Administrative Agent shall have received a Notice of Borrowing in connection with any such request for extension of credit.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No Default.</w:t>
      </w:r>
      <w:r>
        <w:rPr>
          <w:color w:val="000000"/>
        </w:rPr>
        <w:t xml:space="preserve"> </w:t>
      </w:r>
      <w:r>
        <w:rPr>
          <w:rFonts w:ascii="Times New Roman;sans-serif" w:hAnsi="Times New Roman;sans-serif"/>
          <w:b w:val="false"/>
          <w:color w:val="000000"/>
          <w:sz w:val="22"/>
        </w:rPr>
        <w:t>No Default or Event of Default shall have occurred and be continuing as of or on such date or immediately after giving effect to the extensions of credit requested to be made on such date.</w:t>
      </w:r>
    </w:p>
    <w:p>
      <w:pPr>
        <w:pStyle w:val="TextBody"/>
        <w:bidi w:val="0"/>
        <w:spacing w:lineRule="auto" w:line="288" w:before="0" w:after="240"/>
        <w:ind w:left="0" w:right="0" w:firstLine="720"/>
        <w:jc w:val="both"/>
        <w:rPr/>
      </w:pPr>
      <w:r>
        <w:rPr>
          <w:rFonts w:ascii="Times New Roman;sans-serif" w:hAnsi="Times New Roman;sans-serif"/>
          <w:b/>
          <w:color w:val="000000"/>
          <w:sz w:val="22"/>
        </w:rPr>
        <w:t>5.3    Post-Closing Conditions Subsequent</w:t>
      </w:r>
      <w:r>
        <w:rPr>
          <w:rFonts w:ascii="Times New Roman;sans-serif" w:hAnsi="Times New Roman;sans-serif"/>
          <w:b w:val="false"/>
          <w:color w:val="000000"/>
          <w:sz w:val="22"/>
        </w:rPr>
        <w:t xml:space="preserve">. The Borrower shall satisfy each of the conditions subsequent to the Closing Date specified on Schedule 5.3 by no later than the date specified therein for such condition (or such later date as the Administrative Agent shall agree in its sole discretion). </w:t>
      </w:r>
    </w:p>
    <w:p>
      <w:pPr>
        <w:pStyle w:val="TextBody"/>
        <w:bidi w:val="0"/>
        <w:spacing w:lineRule="auto" w:line="288" w:before="0" w:after="240"/>
        <w:ind w:left="0" w:right="0" w:firstLine="720"/>
        <w:jc w:val="both"/>
        <w:rPr/>
      </w:pPr>
      <w:r>
        <w:rPr>
          <w:rFonts w:ascii="Times New Roman;sans-serif" w:hAnsi="Times New Roman;sans-serif"/>
          <w:b/>
          <w:color w:val="000000"/>
          <w:sz w:val="22"/>
        </w:rPr>
        <w:t>5.4    Conditions to Each Delayed Draw Loans</w:t>
      </w:r>
      <w:r>
        <w:rPr>
          <w:rFonts w:ascii="Times New Roman;sans-serif" w:hAnsi="Times New Roman;sans-serif"/>
          <w:b w:val="false"/>
          <w:color w:val="000000"/>
          <w:sz w:val="22"/>
        </w:rPr>
        <w:t>. In addition to the satisfaction of the conditions precedent set forth in Section 5.2, the agreement of each Delayed Draw Lender to make a Delayed Draw Loan requested to be made by it on any Borrowing Date is subject to the satisfaction (or waiver by the Required Lenders) of the following conditions precedent: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Liquidity</w:t>
      </w:r>
      <w:r>
        <w:rPr>
          <w:rFonts w:ascii="Times New Roman;sans-serif" w:hAnsi="Times New Roman;sans-serif"/>
          <w:b w:val="false"/>
          <w:color w:val="000000"/>
          <w:sz w:val="22"/>
        </w:rPr>
        <w:t xml:space="preserve">. Immediately after giving effect to the making of the Delayed Draw Loans and the related Delayed Draw Funded Acquisition or other application of proceeds, Liquidity shall not be less than the sum of (i) $100,000,000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(ii) the Existing Convertible Notes Redemption Amount as of such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ARR Leverage</w:t>
      </w:r>
      <w:r>
        <w:rPr>
          <w:rFonts w:ascii="Times New Roman;sans-serif" w:hAnsi="Times New Roman;sans-serif"/>
          <w:b w:val="false"/>
          <w:color w:val="000000"/>
          <w:sz w:val="22"/>
        </w:rPr>
        <w:t xml:space="preserve">. Immediately after giving effect to the making of Delayed Draw Loans and the related Delayed Draw Funded Acquisition or other application of proceeds, the Borrower shall be in compliance on a Pro Forma Basis with the ARR Leverage Covenant.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EBITDA</w:t>
      </w:r>
      <w:r>
        <w:rPr>
          <w:rFonts w:ascii="Times New Roman;sans-serif" w:hAnsi="Times New Roman;sans-serif"/>
          <w:b w:val="false"/>
          <w:color w:val="000000"/>
          <w:sz w:val="22"/>
        </w:rPr>
        <w:t>. In the case of a Delayed Draw Funded Acquisition involving the acquisition of Capital Stock of the target of such Delayed Draw Funded Acquisition (an “</w:t>
      </w:r>
      <w:r>
        <w:rPr>
          <w:rFonts w:ascii="Times New Roman;sans-serif" w:hAnsi="Times New Roman;sans-serif"/>
          <w:b/>
          <w:i/>
          <w:color w:val="000000"/>
          <w:sz w:val="22"/>
        </w:rPr>
        <w:t>Applicable Target</w:t>
      </w:r>
      <w:r>
        <w:rPr>
          <w:color w:val="000000"/>
        </w:rPr>
        <w:t>”</w:t>
      </w:r>
      <w:r>
        <w:rPr>
          <w:rFonts w:ascii="Times New Roman;sans-serif" w:hAnsi="Times New Roman;sans-serif"/>
          <w:b w:val="false"/>
          <w:color w:val="000000"/>
          <w:sz w:val="22"/>
        </w:rPr>
        <w:t>), the Consolidated Adjusted EBITDA of the Applicable Target shall be positive for the four quarter period most recently ended prior to the date of such Delayed Draw Funded Acquisition (it being understood, in case of this Section 5.4(c), that Consolidated Adjusted EBITDA of the applicable target shall be calculated (i) based on reasonably identified synergies and (ii) without giving effect to the Shared Cap for purposes of clause (a)(xix) of the definition of Consolidated Adjusted EBITDA).</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Delayed Draw Funded Acquisition Purchase Price</w:t>
      </w:r>
      <w:r>
        <w:rPr>
          <w:rFonts w:ascii="Times New Roman;sans-serif" w:hAnsi="Times New Roman;sans-serif"/>
          <w:b w:val="false"/>
          <w:color w:val="000000"/>
          <w:sz w:val="22"/>
        </w:rPr>
        <w:t>. (i) With respect to any Delayed Draw Funded Acquisition involving an Applicable Target with an enterprise value of greater than $25,000,000 (other than the Specified Acquisition) (x) the purchase price of such Delayed Draw Funded Acquisition shall not exceed an amount equal to [***] times Recurring Revenue for the Test Period ending on or most recently prior to such date or (y) the prior written consent of the Required Lenders to such Delayed Draw Funded Acquisition shall have been obtained.</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560705"/>
                <wp:effectExtent l="0" t="0" r="0" b="0"/>
                <wp:wrapNone/>
                <wp:docPr id="211" name="Frame2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Delayed Draw Certificate</w:t>
      </w:r>
      <w:r>
        <w:rPr>
          <w:rFonts w:ascii="Times New Roman;sans-serif" w:hAnsi="Times New Roman;sans-serif"/>
          <w:b w:val="false"/>
          <w:color w:val="000000"/>
          <w:sz w:val="22"/>
        </w:rPr>
        <w:t>. The Administrative Agent shall have received a certificate from a Responsible Officer of the Borrower demonstrating compliance with each of the conditions in clauses (a) through (d) of this Section 5.4.</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SECTION 6</w:t>
        <w:br/>
        <w:t>AFFIRMATIVE COVENANTS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hereby agrees that, at all times prior to the Discharge of Obligations, the Borrower shall, and, where applicable, shall cause each of its Subsidiaries to:</w:t>
      </w:r>
    </w:p>
    <w:p>
      <w:pPr>
        <w:pStyle w:val="TextBody"/>
        <w:bidi w:val="0"/>
        <w:spacing w:lineRule="auto" w:line="288" w:before="0" w:after="240"/>
        <w:ind w:left="0" w:right="0" w:firstLine="720"/>
        <w:jc w:val="both"/>
        <w:rPr/>
      </w:pPr>
      <w:r>
        <w:rPr>
          <w:rFonts w:ascii="Times New Roman;sans-serif" w:hAnsi="Times New Roman;sans-serif"/>
          <w:b/>
          <w:color w:val="000000"/>
          <w:sz w:val="22"/>
        </w:rPr>
        <w:t>6.1    Financial Statement</w:t>
      </w:r>
      <w:r>
        <w:rPr>
          <w:rFonts w:ascii="Times New Roman;sans-serif" w:hAnsi="Times New Roman;sans-serif"/>
          <w:b w:val="false"/>
          <w:color w:val="000000"/>
          <w:sz w:val="22"/>
        </w:rPr>
        <w:t>s. Furnish to the Administrative Agent for distribution to each Lender: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commencing with the fiscal year ending December 31, 2024, as soon as available, but in any event within 90 days after the end of each fiscal year of the Borrower (or if later, by the date such financial statements are required to be delivered pursuant to SEC reporting requirements, after giving effect to any extensions granted by the SEC, but in any event no later than 120 days after the end of any fiscal year), a copy of the audited consolidated balance sheet of the Borrower and its consolidated Subsidiaries as at the end of such fiscal year and the related audited consolidated statements of operations (or income) and of cash flows for such fiscal year, setting forth in each case in comparative form the figures for the previous year and the figures from the Projections for such fiscal year, together with related notes thereto and customary management’s discussion and analysis and segment level detailed financial information and accompanied by an unqualified audit opinion as to the scope of the audit and reported on without a “going concern” or like qualification or exception (other than as a result of (i) the upcoming maturity of any Indebtedness of any Loan Party (including the Obligations) and (ii) any actual or potential inability to satisfy any financial covenants under any Indebtedness of any Loan Party (including the financial covenant set forth in Section 7.1)), by a “big-four” accounting firm or another nationally or regionally recognized accounting firm or other accounting firm reasonably acceptable to the Administrative Agent;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commencing with the month ending August 31, 2024, within fifteen (15) days after the end of each month, a report setting forth the Liquidity of the Loan Parties evidencing in reasonable detail compliance with Section 7.1(c) and the composition of Unrestricted Cash and Cash Equivalents contributing thereto (such certificate, the “</w:t>
      </w:r>
      <w:r>
        <w:rPr>
          <w:rFonts w:ascii="Times New Roman;sans-serif" w:hAnsi="Times New Roman;sans-serif"/>
          <w:b/>
          <w:i/>
          <w:color w:val="000000"/>
          <w:sz w:val="22"/>
        </w:rPr>
        <w:t>Liquidity Certificate</w:t>
      </w:r>
      <w:r>
        <w:rPr>
          <w:color w:val="000000"/>
        </w:rPr>
        <w:t>”</w:t>
      </w:r>
      <w:r>
        <w:rPr>
          <w:rFonts w:ascii="Times New Roman;sans-serif" w:hAnsi="Times New Roman;sans-serif"/>
          <w:b w:val="false"/>
          <w:color w:val="000000"/>
          <w:sz w:val="22"/>
        </w:rPr>
        <w:t>);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commencing with the fiscal quarter ending September 30, 2024, (i) in the case of each of the first three fiscal quarters occurring during each fiscal year of the Borrower, as soon as available, but in any event not later than 60 days after the end of such fiscal quarter (or if later, by the date such financial statements are required to be delivered pursuant to SEC reporting requirements, after giving effect to any extensions granted by the SEC, but in any event no later than 90 days after the end of any fiscal quarter) and (ii) in the case of the last fiscal quarter occurring during each fiscal year of the Borrower, as soon as available, but in any event not later than 90 days after the end of such fiscal quarter, the unaudited consolidated balance sheet of the Borrower and its consolidated Subsidiaries as at the end of such fiscal quarter and the related unaudited consolidated statements of operations (or income) and of cash flows for such fiscal quarter and the portion of the fiscal year through the end of such quarter, setting forth in each case in comparative form the figures for the applicable period of the previous year and the figures for the applicable period from the Projections for such fiscal year, together with related notes thereto and customary management’s discussion and analysis (other than for the fourth fiscal quarter occurring each fiscal year) and segment level detailed financial information, certified by a Responsible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560705"/>
                <wp:effectExtent l="0" t="0" r="0" b="0"/>
                <wp:wrapNone/>
                <wp:docPr id="212" name="Frame2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Officer of the Borrower as being fairly stated in all material respects (subject to normal year-end audit adjustments).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All such financial statements shall be prepared in accordance with GAAP applied (except (i) in the case of interim financial statements, for year-end adjustments and the absence of footnotes, or (ii) as approved by such accountants or officer, as the case may be, and disclosed in reasonable detail therein) consistently throughout the periods reflected therein and with prior periods. </w:t>
      </w:r>
    </w:p>
    <w:p>
      <w:pPr>
        <w:pStyle w:val="TextBody"/>
        <w:bidi w:val="0"/>
        <w:spacing w:lineRule="auto" w:line="288" w:before="0" w:after="240"/>
        <w:jc w:val="both"/>
        <w:rPr>
          <w:color w:val="000000"/>
        </w:rPr>
      </w:pPr>
      <w:r>
        <w:rPr>
          <w:color w:val="000000"/>
        </w:rPr>
        <w:t xml:space="preserve">     </w:t>
      </w:r>
      <w:r>
        <w:rPr>
          <w:rFonts w:ascii="Times New Roman;sans-serif" w:hAnsi="Times New Roman;sans-serif"/>
          <w:b w:val="false"/>
          <w:color w:val="000000"/>
          <w:sz w:val="22"/>
        </w:rPr>
        <w:t>The obligations referred to in Sections 6.1(a) and 6.1(c) may be satisfied by the public filing by the Borrower of a Form 10-K or Form 10-Q, as applicable, filed with the SEC (or any successor thereto) (and no separate delivery thereof to the Administrative Agent shall be required; provided that, for the avoidance of doubt, a Compliance Certificate shall be required to be delivered to the Administrative Agent in connection therewith as set forth in Section 6.2(b)).</w:t>
      </w:r>
    </w:p>
    <w:p>
      <w:pPr>
        <w:pStyle w:val="TextBody"/>
        <w:bidi w:val="0"/>
        <w:spacing w:lineRule="auto" w:line="288" w:before="0" w:after="240"/>
        <w:ind w:left="0" w:right="0" w:firstLine="720"/>
        <w:jc w:val="both"/>
        <w:rPr/>
      </w:pPr>
      <w:r>
        <w:rPr>
          <w:rFonts w:ascii="Times New Roman;sans-serif" w:hAnsi="Times New Roman;sans-serif"/>
          <w:b/>
          <w:color w:val="000000"/>
          <w:sz w:val="22"/>
        </w:rPr>
        <w:t>6.2    Certificates; Reports; Other Information</w:t>
      </w:r>
      <w:r>
        <w:rPr>
          <w:rFonts w:ascii="Times New Roman;sans-serif" w:hAnsi="Times New Roman;sans-serif"/>
          <w:b w:val="false"/>
          <w:color w:val="000000"/>
          <w:sz w:val="22"/>
        </w:rPr>
        <w:t>. Furnish to the Administrative Agent, for distribution to each Lender within the time periods set forth below:</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[reserved];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concurrently with the delivery of any financial statements pursuant to each of Section 6.1(a) and Section 6.1(c) (other than for the last fiscal quarter of a fiscal year of the Borrower to the extent the ARR Leverage Covenant is not in effect for such quarter (it being understood that any Compliance Certificate covering the last fiscal quarter of a fiscal year may be delivered as part of the Compliance Certificate delivered with financial statements under Section 6.1(a)), a Compliance Certificate containing (x) all information and calculations necessary for determining compliance by the Borrower and each of its Subsidiaries with the applicable Financial Leverage Covenants as of the last day of the fiscal quarter or fiscal year of the Borrower, as the case may be, and (y) to the extent not previously disclosed to the Administrative Agent, a description of any change in legal name or the jurisdiction of organization of any Loan Party and a list of each Material Foreign Subsidiary;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concurrently with the delivery of financial statements pursuant to Section 6.1(a) for a particular fiscal year (after giving effect to any extensions of the deadline therefor), (x) consolidated projections and a model for the following fiscal year set forth on a quarterly basis in a form (and containing detail) consistent with the projections and model delivered to the Administrative Agent and distributed to the Lenders prior to the Closing Date (the “</w:t>
      </w:r>
      <w:r>
        <w:rPr>
          <w:rFonts w:ascii="Times New Roman;sans-serif" w:hAnsi="Times New Roman;sans-serif"/>
          <w:b/>
          <w:i/>
          <w:color w:val="000000"/>
          <w:sz w:val="22"/>
        </w:rPr>
        <w:t>Projections</w:t>
      </w:r>
      <w:r>
        <w:rPr>
          <w:color w:val="000000"/>
        </w:rPr>
        <w:t>”</w:t>
      </w:r>
      <w:r>
        <w:rPr>
          <w:rFonts w:ascii="Times New Roman;sans-serif" w:hAnsi="Times New Roman;sans-serif"/>
          <w:b w:val="false"/>
          <w:color w:val="000000"/>
          <w:sz w:val="22"/>
        </w:rPr>
        <w:t>) and (y) supplemental schedules to the Guarantee and Collateral Agreement (if any) updating the matters set forth in the schedules to the Guarantee and Collateral Agreement so they are true and correct as of the end of the most recent fiscal year;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within five (5) Business Days after receipt thereof by any Loan Party or any Subsidiary thereof (or such later date as the Administrative Agent may agree in its sole discretion), copies of each notice received from the SEC (or comparable agency in any applicable non-U.S. jurisdiction) concerning any investigation or possible investigation or other inquiry by such agency regarding financial or other operational results of any Loan Party or any Subsidiary thereof (other than routine comment letters from the staff of the SEC relating to any Group Members’ filings with the SEC or information that would violate confidentiality obligations to a Governmental Authority);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    within five (5) Business Days after the same are sent (or such later date as the Administrative Agent may agree in its sole discretion), without duplication of any information already provided or otherwise required to be provided to the Administrative Agent, copies of each annual report,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560705"/>
                <wp:effectExtent l="0" t="0" r="0" b="0"/>
                <wp:wrapNone/>
                <wp:docPr id="213" name="Frame2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proxy or financial statement or other material report that the Borrower sends to the holders of any class of their respective Indebtedness with a principal amount in excess of $5,000,000 or public equity securities and, within five (5) Business Days after the same are filed (or such later date as the Administrative Agent may agree in its sole discretion), copies of all annual, regular, periodic and special reports and registration statements which the Borrower may file with the SEC under Section 13 or 15(d) of the Exchange Act, or with any national securities exchange, and not otherwise required to be delivered to the Administrative Agent pursuant hereto;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within five (5) Business Days after the same are sent or received (or such later date as the Administrative Agent may agree in its sole discretion), copies of all correspondence, reports, documents and other filings with any Governmental Authority regarding compliance with or maintenance of material Governmental Approvals or material Requirements of Law, in each case that could reasonably be expected to have a Material Adverse Effect on any of the Governmental Approvals on the operations of the Group Members;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    on or prior to the fifteenth (15</w:t>
      </w:r>
      <w:r>
        <w:rPr>
          <w:rFonts w:ascii="Times New Roman;sans-serif" w:hAnsi="Times New Roman;sans-serif"/>
          <w:b w:val="false"/>
          <w:color w:val="000000"/>
          <w:sz w:val="14"/>
        </w:rPr>
        <w:t>th</w:t>
      </w:r>
      <w:r>
        <w:rPr>
          <w:rFonts w:ascii="Times New Roman;sans-serif" w:hAnsi="Times New Roman;sans-serif"/>
          <w:b w:val="false"/>
          <w:color w:val="000000"/>
          <w:sz w:val="22"/>
        </w:rPr>
        <w:t>) day after the end of the month in which such amendment was executed, copies of any material amendments to Junior Indebtedness;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(h)    to the extent requested by the Administrative Agent (which may not be requested more than once per year so long as an Event of Default is not continuing), a report of a reputable insurance broker (which may be in the form of customary insurance certificates) with respect to the insurance coverage required to be maintained pursuant to </w:t>
      </w:r>
      <w:r>
        <w:rPr>
          <w:rFonts w:ascii="Times New Roman;sans-serif" w:hAnsi="Times New Roman;sans-serif"/>
          <w:b w:val="false"/>
          <w:color w:val="000000"/>
          <w:sz w:val="22"/>
          <w:u w:val="single"/>
        </w:rPr>
        <w:t>Section 6.6</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to the extent requested by the Administrative Agent, an up-to-date copy of the LSTA UBO Form;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(j)    promptly such additional information regarding the business, legal, financial or corporate affairs of any Loan Party or any Subsidiary thereof as the Administrative Agent may from time to time reasonably request.</w:t>
      </w:r>
    </w:p>
    <w:p>
      <w:pPr>
        <w:pStyle w:val="TextBody"/>
        <w:bidi w:val="0"/>
        <w:spacing w:lineRule="auto" w:line="288" w:before="0" w:after="240"/>
        <w:ind w:left="0" w:right="0" w:firstLine="720"/>
        <w:jc w:val="both"/>
        <w:rPr/>
      </w:pPr>
      <w:r>
        <w:rPr>
          <w:rFonts w:ascii="Times New Roman;sans-serif" w:hAnsi="Times New Roman;sans-serif"/>
          <w:b/>
          <w:color w:val="000000"/>
          <w:sz w:val="22"/>
        </w:rPr>
        <w:t>6.3    Payment of Taxes</w:t>
      </w:r>
      <w:r>
        <w:rPr>
          <w:rFonts w:ascii="Times New Roman;sans-serif" w:hAnsi="Times New Roman;sans-serif"/>
          <w:b w:val="false"/>
          <w:color w:val="000000"/>
          <w:sz w:val="22"/>
        </w:rPr>
        <w:t xml:space="preserve">. Pay all material Taxes imposed upon it or any of its properties or assets or in respect of any of its income, businesses or franchises before any penalty or fine accrues thereon;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no such Tax need be paid if it is being contested in good faith by appropriate proceedings promptly instituted and diligently conducted, so long as (a) adequate reserve or other appropriate provision have been made therefor in conformity with GAAP, and (b) in the case of a Tax which has or may become a Lien against any of the Collateral, such contest proceedings conclusively operate to stay the sale of any portion of the Collateral to satisfy such Tax. </w:t>
      </w:r>
    </w:p>
    <w:p>
      <w:pPr>
        <w:pStyle w:val="TextBody"/>
        <w:bidi w:val="0"/>
        <w:spacing w:lineRule="auto" w:line="288" w:before="0" w:after="240"/>
        <w:ind w:left="0" w:right="0" w:firstLine="720"/>
        <w:jc w:val="both"/>
        <w:rPr/>
      </w:pPr>
      <w:r>
        <w:rPr>
          <w:rFonts w:ascii="Times New Roman;sans-serif" w:hAnsi="Times New Roman;sans-serif"/>
          <w:b/>
          <w:color w:val="000000"/>
          <w:sz w:val="22"/>
        </w:rPr>
        <w:t>6.4    [Reserved]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2"/>
        </w:rPr>
        <w:t>6.5    Maintenance of Existence; Compliance</w:t>
      </w:r>
      <w:r>
        <w:rPr>
          <w:rFonts w:ascii="Times New Roman;sans-serif" w:hAnsi="Times New Roman;sans-serif"/>
          <w:b w:val="false"/>
          <w:color w:val="000000"/>
          <w:sz w:val="22"/>
        </w:rPr>
        <w:t xml:space="preserve">. (a)(i) Preserve, renew and keep in full force and effect its organizational existence (other than in the reasonable discretion of the Borrower with respect to Subsidiaries that are Immaterial Subsidiaries that are not Loan Parties) and (ii) take all reasonable action to maintain or obtain all Governmental Approvals and all other rights, privileges and franchises necessary or desirable in the normal conduct of its business or necessary for the performance by such Person of its Obligations under any Loan Document, except, in each case, as otherwise permitted by Section 7.4 or Section 7.5 and except, in the case of clause (ii) above, to the extent that failure to do so could not reasonably be expected to have a Material Adverse Effect; (b) comply with all Requirements of Law, including all applicable Health Care Laws, HIPAA, and Data Privacy Laws except, in each case, to the extent that failure to comply therewith could not, in the aggregate, reasonably be expected to have a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560705"/>
                <wp:effectExtent l="0" t="0" r="0" b="0"/>
                <wp:wrapNone/>
                <wp:docPr id="214" name="Frame2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Material Adverse Effect; (c) comply with all Governmental Approvals, and any term, condition, rule, filing or fee obligation, or other requirement related thereto, except, in each case, to the extent that failure to do so could not reasonably be expected to have a Material Adverse Effect. Without limiting the generality of the foregoing, the Borrower shall, and shall cause each of its ERISA Affiliates to, except as could not reasonably be expected to have a Material Adverse Effect: (1) maintain each Pension Plan in compliance in all material respects with the applicable provisions of ERISA, the Code or other federal or state law; (2) cause each Pension Plan to maintain its qualified status in all material respects under Section 401(a) of the Code; (3) cause the representation in Section 4.13(f) to be true on each date that a Loan is outstanding; (4) ensure that all liabilities under each Pension Plan are either (w) funded to at least the minimum level required by law or, if higher, to the level required by the terms governing such Pension Plan; (x) insured with a reputable insurance company; or (y) provided for or recognized in the financial statements most recently delivered to the Administrative Agent and the Lenders pursuant hereto; or (z) estimated in the formal notes to the financial statements most recently delivered to the Administrative Agent and the Lenders pursuant hereto; and (5) ensure that the contributions or premium payments to or in respect of each Pension Plan are and continue to be promptly paid at no less than the rates required under the rules of such Pension Plan and in accordance with the most recent actuarial advice received in relation to such Pension Plan and applicable law.</w:t>
      </w:r>
    </w:p>
    <w:p>
      <w:pPr>
        <w:pStyle w:val="TextBody"/>
        <w:bidi w:val="0"/>
        <w:spacing w:lineRule="auto" w:line="288" w:before="0" w:after="240"/>
        <w:ind w:left="0" w:right="0" w:firstLine="720"/>
        <w:jc w:val="both"/>
        <w:rPr/>
      </w:pPr>
      <w:r>
        <w:rPr>
          <w:rFonts w:ascii="Times New Roman;sans-serif" w:hAnsi="Times New Roman;sans-serif"/>
          <w:b/>
          <w:color w:val="000000"/>
          <w:sz w:val="22"/>
        </w:rPr>
        <w:t>6.6    Maintenance of Property; Insurance</w:t>
      </w:r>
      <w:r>
        <w:rPr>
          <w:rFonts w:ascii="Times New Roman;sans-serif" w:hAnsi="Times New Roman;sans-serif"/>
          <w:b w:val="false"/>
          <w:color w:val="000000"/>
          <w:sz w:val="22"/>
        </w:rPr>
        <w:t>. (a) Keep all property useful and necessary in its business in good working order and condition, ordinary wear and tear excepted and (b) maintain with financially sound and reputable insurance companies insurance on its property in at least such amounts and against at least such risks as are usually insured against in the same general area by companies engaged in the same or a similar business (in the good faith judgment of the Borrower).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Subject to Section 5.3, the Borrower shall at all times ensure that the Administrative Agent shall be named as (1) an additional insured with respect to U.S. general liability policies (which, for the avoidance of doubt, shall not include any directors and officers policies, workers compensation, business interruption policies, cyber policies, automobile insurance policies or employers liability insurance policies) maintained by the Borrower or any Loan Party that is a Domestic Subsidiary and (2) lender loss payee with respect to U.S. general property insurance maintained by the Borrower or any Loan Party that is a Domestic Subsidiary;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 in the case of (x) any Domestic Subsidiary that becomes a Loan Party after the Closing Date or (y) any insurance policy of the type described in this paragraph that is obtained by the Borrower or any Loan Party that is a Domestic Subsidiary after the Closing Date, such certificates and endorsements required by this Section 6.6 shall be delivered as soon as reasonably practicable thereafter (and in any event within 60 days, but, in the case of clause (x), solely to the extent such new Loan Party is not already covered by the certificates and endorsements previously delivered to the Administrative Agent); and (II) unless an Event of Default shall have occurred and be continuing and the Administrative Agent shall have elected to exercise its rights pursuant to Section 8.2 of this Agreement, (A) all proceeds from insurance policies shall be paid to the applicable Loan Party (it being understood that the Loan Party shall be required to comply with Section 2.12(c) to the extent applicable pursuant to the terms thereof), (B) to the extent the Administrative Agent receives any proceeds, the Administrative Agent shall as soon as reasonably practicable turn over to the Borrower any amounts received by it as an additional insured or loss payee under any property insurance or liability insurance, as applicable, maintained by the Borrower and its Subsidiaries and (C) the Administrative Agent agrees that the Borrower and/or its Subsidiaries shall have the sole right to adjust or settle any claims under such insurance. </w:t>
      </w:r>
    </w:p>
    <w:p>
      <w:pPr>
        <w:pStyle w:val="TextBody"/>
        <w:bidi w:val="0"/>
        <w:spacing w:lineRule="auto" w:line="288" w:before="0" w:after="240"/>
        <w:ind w:left="0" w:right="0" w:firstLine="720"/>
        <w:jc w:val="both"/>
        <w:rPr/>
      </w:pPr>
      <w:r>
        <w:rPr>
          <w:rFonts w:ascii="Times New Roman;sans-serif" w:hAnsi="Times New Roman;sans-serif"/>
          <w:b/>
          <w:color w:val="000000"/>
          <w:sz w:val="22"/>
        </w:rPr>
        <w:t>6.7    Inspection of Property; Books and Records; Discussions</w:t>
      </w:r>
      <w:r>
        <w:rPr>
          <w:rFonts w:ascii="Times New Roman;sans-serif" w:hAnsi="Times New Roman;sans-serif"/>
          <w:b w:val="false"/>
          <w:color w:val="000000"/>
          <w:sz w:val="22"/>
        </w:rPr>
        <w:t xml:space="preserve">. (a) Keep proper books of records and account in which full, true and correct entries in conformity with GAAP and all Requirements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560705"/>
                <wp:effectExtent l="0" t="0" r="0" b="0"/>
                <wp:wrapNone/>
                <wp:docPr id="215" name="Frame2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of Law shall be made of all dealings and transactions in relation to its business and activities and (b) at reasonable times on five (5) Business Days’ prior written notice to the Borrower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no notice is required if an Event of Default has occurred and is continuing), permit representatives and independent contractors of the Administrative Agent (or any Lender electing to accompany the Administrative Agent) to visit and inspect any of its properties, perform field examinations and audits, and examine and make abstracts from any of its books and records at any reasonable time and as often as may reasonably be desired and to discuss the business, operations, properties and financial and other condition of the Group Members with officers, directors and employees of the Group Members and with their independent certified public accountants;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such inspections, field examinations and audits shall not be undertaken more frequently once every twelve (12) months unless an Event of Default has occurred and is continuing, in which case such inspections, field examinations and audits shall occur as often as the Administrative Agent shall reasonably determine. Notwithstanding anything to the contrary contained herein or any other provision of the Loan Documents, no Loan Party nor any of its Subsidiaries shall be required to disclose or permit the inspection or discussion of, any document, information or other matter (i) that constitutes trade secrets or proprietary information, (ii) in respect of which disclosure to any Lender (or their respective representatives or independent contractors) is prohibited by any Requirements of Law or any binding agreement with a third party (so long as such agreement is not entered into in contemplation of this Agreement) or (iii) that is subject to attorney-client or similar privilege, which could reasonably be expected to be lost or forfeited if disclosed to the Administrative Agent or any Lender</w:t>
      </w:r>
    </w:p>
    <w:p>
      <w:pPr>
        <w:pStyle w:val="TextBody"/>
        <w:bidi w:val="0"/>
        <w:spacing w:lineRule="auto" w:line="288" w:before="0" w:after="240"/>
        <w:ind w:left="0" w:right="0" w:firstLine="720"/>
        <w:jc w:val="both"/>
        <w:rPr/>
      </w:pPr>
      <w:r>
        <w:rPr>
          <w:rFonts w:ascii="Times New Roman;sans-serif" w:hAnsi="Times New Roman;sans-serif"/>
          <w:b/>
          <w:color w:val="000000"/>
          <w:sz w:val="22"/>
        </w:rPr>
        <w:t>6.8    </w:t>
      </w:r>
      <w:r>
        <w:rPr>
          <w:rFonts w:ascii="Times New Roman;sans-serif" w:hAnsi="Times New Roman;sans-serif"/>
          <w:b w:val="false"/>
          <w:color w:val="000000"/>
          <w:sz w:val="22"/>
        </w:rPr>
        <w:t>Notices. Give written notice to the Administrative Agent, for distribution by the Administrative Agent to each Lender, within three (3) Business Days, of:</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occurrence of any Event of Default;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any (i) default or event of default under any Contractual Obligation of any Group Member or (ii) it becoming aware of any litigation, investigation or proceeding that may exist at any time between any Group Member and any Governmental Authority, that in either case of clauses (i) and (ii), would reasonably be expected to have a Material Adverse Effect;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institution of any litigation, arbitration, governmental investigation, audit, inquiry or proceeding affecting any Group Member which could reasonably be expected to have a Material Adverse Effect;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(i)    promptly after the Borrower has knowledge or becomes aware of the occurrence of any of the following ERISA Events affecting the Borrower or any ERISA Affiliate (but in no event more than ten days after such event), the occurrence of any of the following ERISA Events, and shall provide the Administrative Agent with a copy of any notice with respect to such event that may be required to be filed with a Governmental Authority and any notice delivered by a Governmental Authority to the Borrower or any ERISA Affiliate with respect to such event, in each case except as could not reasonably be expected to result in a Material Adverse Effect: (A) an ERISA Event, (B) the adoption of any new Pension Plan by the Borrower or any ERISA Affiliate, (C) the adoption of any amendment to a Pension Plan, if such amendment will result in a material increase in benefits or unfunded benefit liabilities (as defined in Section 4001(a)(18) of ERISA), or (D) the commencement of contributions by the Borrower or any ERISA Affiliate to any Plan that is subject to Title IV of ERISA or Section 412 of the Code;</w:t>
      </w:r>
    </w:p>
    <w:p>
      <w:pPr>
        <w:pStyle w:val="TextBody"/>
        <w:bidi w:val="0"/>
        <w:spacing w:lineRule="auto" w:line="288" w:before="0" w:after="240"/>
        <w:ind w:left="0" w:right="0" w:firstLine="23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promptly after the giving, sending or filing thereof, or the receipt thereof, except as could not reasonably be expected to result in a Material Adverse Effect, copies of (1) all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560705"/>
                <wp:effectExtent l="0" t="0" r="0" b="0"/>
                <wp:wrapNone/>
                <wp:docPr id="216" name="Frame2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notices received by the Borrower or any ERISA Affiliate from a Multiemployer Plan sponsor concerning an ERISA Event, and (2) copies of such other documents or governmental reports or filings relating to any Plan as the Administrative Agent shall reasonably request;</w:t>
      </w:r>
    </w:p>
    <w:p>
      <w:pPr>
        <w:pStyle w:val="TextBody"/>
        <w:bidi w:val="0"/>
        <w:spacing w:lineRule="auto" w:line="288" w:before="0" w:after="240"/>
        <w:ind w:left="0" w:right="0" w:firstLine="720"/>
        <w:jc w:val="both"/>
        <w:rPr>
          <w:color w:val="000000"/>
        </w:rPr>
      </w:pPr>
      <w:r>
        <w:rPr>
          <w:color w:val="000000"/>
        </w:rPr>
        <w:t>    </w:t>
      </w:r>
      <w:r>
        <w:rPr>
          <w:rFonts w:ascii="Times New Roman;sans-serif" w:hAnsi="Times New Roman;sans-serif"/>
          <w:b w:val="false"/>
          <w:color w:val="000000"/>
          <w:sz w:val="22"/>
        </w:rPr>
        <w:t>(e)    any of the Borrower or its Subsidiaries, or to the knowledge of any Loan Party or its Subsidiaries any owner, officer, manager or Person with a “direct or indirect ownership interest” (as that phrase is defined in 42 C.F.R. § 420.201) in Borrower or any Subsidiary thereof, officer, manager or Person with a “direct or indirect ownership interest” (as that phrase is defined in 42 C.F.R. § 420.201): (i) has had a civil monetary penalty assessed against him or her pursuant to 42 U.S.C. § 1320a-7a or is the subject of a formal proceeding seeking to assess such penalty; (ii) has been excluded from participation in a Government Program or is the subject of a formal proceeding seeking to assess such penalty; (iii) has been convicted (as that term is defined in 42 C.F.R. § 1001.2) of any of those offenses described in 42 U.S.C. § 1320a-7b or 18 U.S.C. §§ 669, 1035, 1347, 1518 or is the subject of a formal proceeding seeking to assess such penalty; or (iv) has been named in a U.S. Attorney complaint made or any other action taken pursuant to the False Claims Act under 31 U.S.C. §§ 3729-3731 or qui tam action brought pursuant to 31 U.S.C. §§ 3729 et seq.;</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any development or event that has had or could reasonably be expected to have a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notice pursuant to this Section 6.8 shall be accompanied by a statement of a Responsible Officer of the Borrower setting forth details of the occurrence referred to therein and stating what action the relevant Group Member proposes to take with respect thereto.</w:t>
      </w:r>
    </w:p>
    <w:p>
      <w:pPr>
        <w:pStyle w:val="TextBody"/>
        <w:bidi w:val="0"/>
        <w:spacing w:lineRule="auto" w:line="288" w:before="0" w:after="240"/>
        <w:ind w:left="0" w:right="0" w:firstLine="720"/>
        <w:jc w:val="both"/>
        <w:rPr/>
      </w:pPr>
      <w:r>
        <w:rPr>
          <w:rFonts w:ascii="Times New Roman;sans-serif" w:hAnsi="Times New Roman;sans-serif"/>
          <w:b/>
          <w:color w:val="000000"/>
          <w:sz w:val="22"/>
        </w:rPr>
        <w:t>6.9    Environmental Laws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Comply in all material respects with, and ensure compliance in all material respects by all tenants and subtenants, if any, with, all applicable Environmental Laws, and obtain and comply in all material respects with and maintain, and ensure that all tenants and subtenants obtain and comply in all material respects with and maintain, any and all material licenses, approvals, notifications, registrations or permits required by applicable Environmental Laws.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Conduct and complete all material investigations, studies, sampling and testing, and all remedial, removal and other actions required under Environmental Laws and promptly comply in all material respects with all lawful orders and directives of all Governmental Authorities regarding Environmental Laws.</w:t>
      </w:r>
    </w:p>
    <w:p>
      <w:pPr>
        <w:pStyle w:val="TextBody"/>
        <w:bidi w:val="0"/>
        <w:spacing w:lineRule="auto" w:line="288" w:before="0" w:after="240"/>
        <w:ind w:left="0" w:right="0" w:firstLine="720"/>
        <w:jc w:val="both"/>
        <w:rPr/>
      </w:pPr>
      <w:r>
        <w:rPr>
          <w:rFonts w:ascii="Times New Roman;sans-serif" w:hAnsi="Times New Roman;sans-serif"/>
          <w:b/>
          <w:color w:val="000000"/>
          <w:sz w:val="22"/>
        </w:rPr>
        <w:t>6.10    Quarterly Lender Calls</w:t>
      </w:r>
      <w:r>
        <w:rPr>
          <w:rFonts w:ascii="Times New Roman;sans-serif" w:hAnsi="Times New Roman;sans-serif"/>
          <w:b w:val="false"/>
          <w:color w:val="000000"/>
          <w:sz w:val="22"/>
        </w:rPr>
        <w:t>. To the extent requested by the Administrative Agent and the Lenders, the Borrower will participate in a quarterly conference call (including question and answer) of the Administrative Agent and Lenders (limited to one such call for all such Persons) in connection with the delivery of the financial statements of the Borrower and its Subsidiaries pursuant to Sections 6.1(a) and (c) at such time as may be agreed to by the Borrower and the Administrative Agent.</w:t>
      </w:r>
    </w:p>
    <w:p>
      <w:pPr>
        <w:pStyle w:val="TextBody"/>
        <w:bidi w:val="0"/>
        <w:spacing w:lineRule="auto" w:line="288" w:before="0" w:after="240"/>
        <w:ind w:left="0" w:right="0" w:firstLine="720"/>
        <w:jc w:val="both"/>
        <w:rPr/>
      </w:pPr>
      <w:r>
        <w:rPr>
          <w:rFonts w:ascii="Times New Roman;sans-serif" w:hAnsi="Times New Roman;sans-serif"/>
          <w:b/>
          <w:color w:val="000000"/>
          <w:sz w:val="22"/>
        </w:rPr>
        <w:t>6.11    [Reserved]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6.12    Additional Guarantors; Collateral, Etc</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With respect to any property to the extent included in the definition of “Collateral” (including, for the avoidance of doubt, Capital Stock) acquired after the Closing Date by any Foreign Subsidiary that is a Loan Party (other than (x) any property described in paragraph (b) or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560705"/>
                <wp:effectExtent l="0" t="0" r="0" b="0"/>
                <wp:wrapNone/>
                <wp:docPr id="217" name="Frame2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99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(c)  below, (y) any property subject to a Lien expressly permitted by Section 7.3(g), and (z) any other Excluded Assets) as to which the Administrative Agent, for the benefit of the Secured Parties, does not have a perfected Lien, promptly (and in any event within 60 days (or such later date as the Administrative Agent may agree in its sole discretion)), subject to the Agreed Security Principles and any thresholds, deadlines and exceptions set forth in any applicable Security Document, (i) execute and deliver to the Administrative Agent such amendments to the applicable Security Documents or such other documents as the Administrative Agent deems reasonably necessary or advisable to grant to the Administrative Agent, for the benefit of the Secured Parties, a security interest in such property as credit support for the Obligations and (ii) take all actions as may be reasonably necessary or advisable in the opinion of the Administrative Agent to grant to the Administrative Agent, for the benefit of the Secured Parties as credit support for the Obligations, a perfected first priority (except as permitted by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 xml:space="preserve">) security interest and Lien in such property, including, but not limited to, (A) the filing of Uniform Commercial Code financing statements in such jurisdictions as may be required by the Guarantee and Collateral Agreement, (B) the filing of any other Security Document or by law or as may be reasonably requested by the Administrative Agent and (C) the delivery of the certificates (if any) representing acquired Capital Stock, together with undated stock powers, in blank, executed and delivered by a duly authorized officer of the relevant Loan Party.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With respect to Material Real Property acquired after the Closing Date by any Loan Party, within 120 days after such acquisition (or such longer period as the Administrative Agent may agree in its sole discretion), subject to the Agreed Security Principles, as applicable, (i) execute and deliver a first priority Mortgage, in favor of the Administrative Agent, for the benefit of the Secured Parties as credit support for the Obligations, covering such real property (provided that to the extent any Material Real Property to be subject to a Mortgage is located in a jurisdiction which imposes mortgage recording taxes, intangibles tax, documentary tax or similar recording fees or taxes, the relevant Mortgage shall not secure an amount in excess of 115% of the fair market value of such property subject thereto), (ii) provide the Lenders with (x) title and extended coverage insurance covering such real property in an amount equal to the purchase price of such real property (or such other amount as shall be reasonably specified by the Administrative Agent but not to exceed the fair market value thereof) with endorsements as the Administrative Agent may reasonably request, as well as a current ALTA survey thereof (or existing survey, ExpressMap, or similar documentation together with a no change affidavit of such Mortgaged Property) sufficient for the title insurance company to remove the standard survey exception and issue survey related endorsements, and (y) any consents or estoppels reasonably deemed necessary by the Administrative Agent in connection with such Mortgage to obtain customary title insurance coverage with respect to the matters related thereto, each of the foregoing in form and substance reasonably satisfactory to the Administrative Agent and (iii) if requested by the Administrative Agent, deliver to the Administrative Agent legal opinions addressed solely to the Administrative Agent for the benefit of the Secured Parties relating to the matters described above, which opinions shall be in form and substance, and from counsel, reasonably satisfactory to the Administrative Agent. The parties acknowledge that there are no Mortgages or Mortgaged Properties as of the Closing Date.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With respect to any Excluded Subsidiary that ceases to qualify as an Excluded Subsidiary or any new Subsidiary (other than any Excluded Subsidiary) created or acquired after the Closing Date by any Loan Party (including pursuant to a Permitted Acquisition), within 60 days thereof (or, with respect to any Foreign Subsidiary, 90 days) (or, in each case, such longer period as the Administrative Agent may agree in its sole discretion), subject in the case of Foreign Subsidiaries to the Agreed Security Principles, as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560705"/>
                <wp:effectExtent l="0" t="0" r="0" b="0"/>
                <wp:wrapNone/>
                <wp:docPr id="218" name="Frame2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in the case of a Domestic Subsidiary, execute and deliver to the Administrative Agent a Joinder Agreement (as defined in the Guarantee and Collateral Agreement) to the Guarantee and Collateral Agreement in order to become a U.S. Grantor and Guarantor thereunder, and, if applicable and required by the Agreed Security Principles, a Foreign Security Document to pledge the Capital Stock of any Foreign Guarantor (as defined in the Agreed Security Principles) owned by such Domestic Subsidiary, in each case together with all other documents, certificates, instruments and filings required to grant a perfected security interest in its assets (to the extent not constituting Excluded Assets) to substantially the same extent (as applicable) as created and perfected by the Loan Parties on the Closing Date (and subject to the thresholds, exceptions and other terms of the applicable Security Documents);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in the case of a Foreign Subsidiary, execute and deliver to the Administrative Agent (x) a Joinder Agreement (as defined in the Guarantee and Collateral Agreement) to the Guarantee and Collateral Agreement in order to become a Non-U.S. Grantor and Guarantor thereunder and (y) each applicable Foreign Security Document, in form and substance reasonably satisfactory to the Administrative Agent, as the Administrative Agent may reasonably deem necessary or advisable to grant to the Administrative Agent, for the benefit of the Secured Parties as credit support for the Obligations, a perfected first priority security interest in the applicable assets of such Foreign Subsidiary (to the extent not constituting Excluded Assets), in each case of clauses (x) and (y), together with all other documents, certificates, instruments and filings required to grant a perfected security interest in its assets to the extent required by the Agreed Security Principles and subject to the thresholds, exceptions and other terms of the applicable Security Documents;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 execute and deliver to the Administrative Agent each applicable Security Document (in form and substance reasonably satisfactory to the Administrative Agent) as the Administrative Agent may reasonably deem necessary or advisable to grant to the Administrative Agent, for the benefit of the Secured Parties as credit support for the Obligations, a perfected first priority security interest in the Capital Stock (to the extent not constituting Excluded Assets) of such Subsidiary, together with such documents and instruments as may be required to grant, perfect, protect and ensure the priority of such security interest, which may include but is not limited to, the certificates (if any) representing such Capital Stock, together with undated stock powers, in blank, executed and delivered by a duly authorized officer of the relevant Loan Party; and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(iv) if reasonably requested by the Administrative Agent, deliver to the Administrative Agent legal opinions relating to the matters described above, which opinions shall be in form and substance reasonably satisfactory to the Administrative Agent; it being agreed that if such Subsidiary is formed by a Division, the foregoing requirements shall be required to be satisfied following the formation of such Subsidiary within the time periods set forth in this Section 6.12(c).</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For the avoidance of doubt, notwithstanding anything to the contrary set forth herein, in no event shall (i) notices be required to be sent to account debtors or other contractual third-parties unless an Event of Default has occurred and is continuing, (ii) creation or perfection (except to the extent perfected through the filing of general “all asset” Uniform Commercial Code financing statements) be required with respect to letter of credit rights and commercial tort claims, (iii) landlord lien waivers, estoppels or collateral access letters be required, or (iv) security documents governed by the law of the jurisdiction in which assets are located (unless, in the case of assets held by a Foreign Subsidiary that is a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560705"/>
                <wp:effectExtent l="0" t="0" r="0" b="0"/>
                <wp:wrapNone/>
                <wp:docPr id="219" name="Frame2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Loan Party, assets are located in the jurisdiction of incorporation or organization of the applicable Loan Party), or, in the case of the Borrower or a Loan Party that is a Domestic Subsidiary, any actions in any non-U.S. jurisdiction (including Intellectual Property filings) be required to be taken in order to create or perfect any security interest in any assets other than (A) the granting of a Mortgage over Material Real Property that is located outside of the U.S. or (B) a local law pledge of the equity interests of a Material Foreign Subsidiary that is a Loan Party (this clause (d), the “</w:t>
      </w:r>
      <w:r>
        <w:rPr>
          <w:rFonts w:ascii="Times New Roman;sans-serif" w:hAnsi="Times New Roman;sans-serif"/>
          <w:b/>
          <w:i/>
          <w:color w:val="000000"/>
          <w:sz w:val="22"/>
        </w:rPr>
        <w:t>Perfection Exceptions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6.13    Use of Proceeds</w:t>
      </w:r>
      <w:r>
        <w:rPr>
          <w:rFonts w:ascii="Times New Roman;sans-serif" w:hAnsi="Times New Roman;sans-serif"/>
          <w:b w:val="false"/>
          <w:color w:val="000000"/>
          <w:sz w:val="22"/>
        </w:rPr>
        <w:t xml:space="preserve">. Use the proceeds of each credit extension only for the purposes specified in </w:t>
      </w:r>
      <w:r>
        <w:rPr>
          <w:rFonts w:ascii="Times New Roman;sans-serif" w:hAnsi="Times New Roman;sans-serif"/>
          <w:b w:val="false"/>
          <w:color w:val="000000"/>
          <w:sz w:val="22"/>
          <w:u w:val="single"/>
        </w:rPr>
        <w:t>Section 4.16</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6.14    [Reserved]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2"/>
        </w:rPr>
        <w:t>6.15    Anti-Corruption Laws; Anti-Money Laundering Laws; Sanctions</w:t>
      </w:r>
      <w:r>
        <w:rPr>
          <w:rFonts w:ascii="Times New Roman;sans-serif" w:hAnsi="Times New Roman;sans-serif"/>
          <w:b w:val="false"/>
          <w:color w:val="000000"/>
          <w:sz w:val="22"/>
        </w:rPr>
        <w:t>. Subject in all respects to Section 5.3, maintain and enforce, or be subject to, policies and procedures designed to promote and achieve compliance with applicable Sanctions, Anti-Corruption Laws, and Anti-Money Laundering Laws.</w:t>
      </w:r>
    </w:p>
    <w:p>
      <w:pPr>
        <w:pStyle w:val="TextBody"/>
        <w:bidi w:val="0"/>
        <w:spacing w:lineRule="auto" w:line="288" w:before="0" w:after="240"/>
        <w:ind w:left="0" w:right="0" w:firstLine="720"/>
        <w:jc w:val="both"/>
        <w:rPr/>
      </w:pPr>
      <w:r>
        <w:rPr>
          <w:rFonts w:ascii="Times New Roman;sans-serif" w:hAnsi="Times New Roman;sans-serif"/>
          <w:b/>
          <w:color w:val="000000"/>
          <w:sz w:val="22"/>
        </w:rPr>
        <w:t>6.16    Further Assurances</w:t>
      </w:r>
      <w:r>
        <w:rPr>
          <w:rFonts w:ascii="Times New Roman;sans-serif" w:hAnsi="Times New Roman;sans-serif"/>
          <w:b w:val="false"/>
          <w:color w:val="000000"/>
          <w:sz w:val="22"/>
        </w:rPr>
        <w:t xml:space="preserve">. Subject to the Perfection Exceptions and the Security Documents, execute any further instruments and take such further action as the Administrative Agent reasonably deems necessary to perfect, protect, ensure the priority of or continue the Administrative Agent’s Lien on the Collateral or to effect the purposes of this Agreement. </w:t>
      </w:r>
    </w:p>
    <w:p>
      <w:pPr>
        <w:pStyle w:val="TextBody"/>
        <w:bidi w:val="0"/>
        <w:spacing w:lineRule="auto" w:line="288" w:before="0" w:after="240"/>
        <w:ind w:left="0" w:right="0" w:firstLine="720"/>
        <w:jc w:val="both"/>
        <w:rPr/>
      </w:pPr>
      <w:r>
        <w:rPr>
          <w:rFonts w:ascii="Times New Roman;sans-serif" w:hAnsi="Times New Roman;sans-serif"/>
          <w:b/>
          <w:color w:val="000000"/>
          <w:sz w:val="22"/>
        </w:rPr>
        <w:t>6.17    Cash Management</w:t>
      </w:r>
      <w:r>
        <w:rPr>
          <w:rFonts w:ascii="Times New Roman;sans-serif" w:hAnsi="Times New Roman;sans-serif"/>
          <w:b w:val="false"/>
          <w:color w:val="000000"/>
          <w:sz w:val="22"/>
        </w:rPr>
        <w:t xml:space="preserve">. Cause each Loan Party to maintain all cash and Cash Equivalents at Deposit Accounts or Securities Accounts with any financial institution that has entered into a Control Agreement (other than cash or Cash Equivalents held in Excluded Accounts);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(x) with respect to any Deposit Accounts or Securities Accounts held by a Loan Party as of the Closing Date, the Loan Parties shall have sixty (60) days after the Closing Date (or such later date as the Administrative Agent may agree in its sole discretion) to comply with this Section 6.17 (the “</w:t>
      </w:r>
      <w:r>
        <w:rPr>
          <w:rFonts w:ascii="Times New Roman;sans-serif" w:hAnsi="Times New Roman;sans-serif"/>
          <w:b/>
          <w:i/>
          <w:color w:val="000000"/>
          <w:sz w:val="22"/>
        </w:rPr>
        <w:t>Initial DACA Deadline</w:t>
      </w:r>
      <w:r>
        <w:rPr>
          <w:color w:val="000000"/>
        </w:rPr>
        <w:t>”</w:t>
      </w:r>
      <w:r>
        <w:rPr>
          <w:rFonts w:ascii="Times New Roman;sans-serif" w:hAnsi="Times New Roman;sans-serif"/>
          <w:b w:val="false"/>
          <w:color w:val="000000"/>
          <w:sz w:val="22"/>
        </w:rPr>
        <w:t>), (y) with respect to any Person that becomes a Loan Party after the Closing Date, such Loan Party shall have sixty (60) days after the date such Person becomes a Loan Party (or such later date as the Administrative Agent may agree in its sole discretion) to comply with this Section 6.17 with respect to Deposit Accounts or Securities Accounts held by such Person on the date it becomes a Loan Party, and (z) with respect to any Deposit Accounts or Securities Accounts that are opened or acquired by a Loan Party after the Closing Date, such Loan Party shall have sixty (60) days after the opening or acquisition of such Deposit Account or Securities Account (or such later date as the Administrative Agent may agree in its sole discretion) to comply with this Section 6.17.</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SECTION 7</w:t>
        <w:br/>
        <w:t>NEGATIVE COVENANTS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hereby agrees that, at all times prior to the Discharge of Obligations, the Borrower shall not, nor shall the Borrower permit any of its Subsidiaries, to, directly or indirectly:</w:t>
      </w:r>
    </w:p>
    <w:p>
      <w:pPr>
        <w:pStyle w:val="TextBody"/>
        <w:bidi w:val="0"/>
        <w:spacing w:lineRule="auto" w:line="288" w:before="0" w:after="240"/>
        <w:ind w:left="0" w:right="0" w:firstLine="720"/>
        <w:jc w:val="both"/>
        <w:rPr/>
      </w:pPr>
      <w:r>
        <w:rPr>
          <w:rFonts w:ascii="Times New Roman;sans-serif" w:hAnsi="Times New Roman;sans-serif"/>
          <w:b/>
          <w:color w:val="000000"/>
          <w:sz w:val="22"/>
        </w:rPr>
        <w:t>7.1    Financial Condition Covenants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ARR Leverage Covenant</w:t>
      </w:r>
      <w:r>
        <w:rPr>
          <w:rFonts w:ascii="Times New Roman;sans-serif" w:hAnsi="Times New Roman;sans-serif"/>
          <w:b w:val="false"/>
          <w:color w:val="000000"/>
          <w:sz w:val="22"/>
        </w:rPr>
        <w:t>. Commencing with the fiscal quarter ending September 30, 2024, permit the ARR Total Leverage Ratio as of the last day of and for any Test Period set forth below to be greater than the ratio set forth below opposite such Test Period below:</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560705"/>
                <wp:effectExtent l="0" t="0" r="0" b="0"/>
                <wp:wrapNone/>
                <wp:docPr id="220" name="Frame22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4874" w:type="dxa"/>
        <w:jc w:val="left"/>
        <w:tblInd w:w="0" w:type="dxa"/>
        <w:tblLayout w:type="fixed"/>
        <w:tblCellMar>
          <w:top w:w="28" w:type="dxa"/>
          <w:left w:w="28" w:type="dxa"/>
          <w:bottom w:w="28" w:type="dxa"/>
          <w:right w:w="28" w:type="dxa"/>
        </w:tblCellMar>
      </w:tblPr>
      <w:tblGrid>
        <w:gridCol w:w="745"/>
        <w:gridCol w:w="654"/>
        <w:gridCol w:w="656"/>
        <w:gridCol w:w="824"/>
        <w:gridCol w:w="824"/>
        <w:gridCol w:w="1171"/>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double" w:sz="10" w:space="0" w:color="000000"/>
              <w:left w:val="double" w:sz="10"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Test Period Ending </w:t>
            </w:r>
          </w:p>
        </w:tc>
        <w:tc>
          <w:tcPr>
            <w:tcW w:w="2819" w:type="dxa"/>
            <w:gridSpan w:val="3"/>
            <w:tcBorders>
              <w:top w:val="double" w:sz="10" w:space="0" w:color="000000"/>
              <w:left w:val="single" w:sz="8" w:space="0" w:color="000000"/>
              <w:right w:val="double" w:sz="10"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ARR Total Leverage Ratio</w:t>
            </w:r>
          </w:p>
        </w:tc>
      </w:tr>
      <w:tr>
        <w:trPr/>
        <w:tc>
          <w:tcPr>
            <w:tcW w:w="2055" w:type="dxa"/>
            <w:gridSpan w:val="3"/>
            <w:tcBorders>
              <w:top w:val="single" w:sz="8" w:space="0" w:color="000000"/>
              <w:left w:val="double" w:sz="10"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September 30, 2024</w:t>
            </w:r>
          </w:p>
        </w:tc>
        <w:tc>
          <w:tcPr>
            <w:tcW w:w="2819" w:type="dxa"/>
            <w:gridSpan w:val="3"/>
            <w:tcBorders>
              <w:top w:val="single" w:sz="8" w:space="0" w:color="000000"/>
              <w:left w:val="single" w:sz="8" w:space="0" w:color="000000"/>
              <w:right w:val="double" w:sz="10"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2055" w:type="dxa"/>
            <w:gridSpan w:val="3"/>
            <w:tcBorders>
              <w:top w:val="single" w:sz="8" w:space="0" w:color="000000"/>
              <w:left w:val="double" w:sz="10"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December 31, 2024</w:t>
            </w:r>
          </w:p>
        </w:tc>
        <w:tc>
          <w:tcPr>
            <w:tcW w:w="2819" w:type="dxa"/>
            <w:gridSpan w:val="3"/>
            <w:tcBorders>
              <w:top w:val="single" w:sz="8" w:space="0" w:color="000000"/>
              <w:left w:val="single" w:sz="8" w:space="0" w:color="000000"/>
              <w:right w:val="double" w:sz="10"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2055" w:type="dxa"/>
            <w:gridSpan w:val="3"/>
            <w:tcBorders>
              <w:top w:val="single" w:sz="8" w:space="0" w:color="000000"/>
              <w:left w:val="double" w:sz="10"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March 31, 2025</w:t>
            </w:r>
          </w:p>
        </w:tc>
        <w:tc>
          <w:tcPr>
            <w:tcW w:w="2819" w:type="dxa"/>
            <w:gridSpan w:val="3"/>
            <w:tcBorders>
              <w:top w:val="single" w:sz="8" w:space="0" w:color="000000"/>
              <w:left w:val="single" w:sz="8" w:space="0" w:color="000000"/>
              <w:right w:val="double" w:sz="10"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2055" w:type="dxa"/>
            <w:gridSpan w:val="3"/>
            <w:tcBorders>
              <w:top w:val="single" w:sz="8" w:space="0" w:color="000000"/>
              <w:left w:val="double" w:sz="10"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June 30, 2025</w:t>
            </w:r>
          </w:p>
        </w:tc>
        <w:tc>
          <w:tcPr>
            <w:tcW w:w="2819" w:type="dxa"/>
            <w:gridSpan w:val="3"/>
            <w:tcBorders>
              <w:top w:val="single" w:sz="8" w:space="0" w:color="000000"/>
              <w:left w:val="single" w:sz="8" w:space="0" w:color="000000"/>
              <w:right w:val="double" w:sz="10"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2055" w:type="dxa"/>
            <w:gridSpan w:val="3"/>
            <w:tcBorders>
              <w:top w:val="single" w:sz="8" w:space="0" w:color="000000"/>
              <w:left w:val="double" w:sz="10"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September 30, 2025</w:t>
            </w:r>
          </w:p>
        </w:tc>
        <w:tc>
          <w:tcPr>
            <w:tcW w:w="2819" w:type="dxa"/>
            <w:gridSpan w:val="3"/>
            <w:tcBorders>
              <w:top w:val="single" w:sz="8" w:space="0" w:color="000000"/>
              <w:left w:val="single" w:sz="8" w:space="0" w:color="000000"/>
              <w:right w:val="double" w:sz="10"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2055" w:type="dxa"/>
            <w:gridSpan w:val="3"/>
            <w:tcBorders>
              <w:top w:val="single" w:sz="8" w:space="0" w:color="000000"/>
              <w:left w:val="double" w:sz="10"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December 31, 2025</w:t>
            </w:r>
          </w:p>
        </w:tc>
        <w:tc>
          <w:tcPr>
            <w:tcW w:w="2819" w:type="dxa"/>
            <w:gridSpan w:val="3"/>
            <w:tcBorders>
              <w:top w:val="single" w:sz="8" w:space="0" w:color="000000"/>
              <w:left w:val="single" w:sz="8" w:space="0" w:color="000000"/>
              <w:right w:val="double" w:sz="10"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2055" w:type="dxa"/>
            <w:gridSpan w:val="3"/>
            <w:tcBorders>
              <w:top w:val="single" w:sz="8" w:space="0" w:color="000000"/>
              <w:left w:val="double" w:sz="10"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March 31, 2026</w:t>
            </w:r>
          </w:p>
        </w:tc>
        <w:tc>
          <w:tcPr>
            <w:tcW w:w="2819" w:type="dxa"/>
            <w:gridSpan w:val="3"/>
            <w:tcBorders>
              <w:top w:val="single" w:sz="8" w:space="0" w:color="000000"/>
              <w:left w:val="single" w:sz="8" w:space="0" w:color="000000"/>
              <w:right w:val="double" w:sz="10"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2055" w:type="dxa"/>
            <w:gridSpan w:val="3"/>
            <w:tcBorders>
              <w:top w:val="single" w:sz="8" w:space="0" w:color="000000"/>
              <w:left w:val="double" w:sz="10" w:space="0" w:color="000000"/>
              <w:bottom w:val="double" w:sz="10"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June 30, 2026</w:t>
            </w:r>
          </w:p>
        </w:tc>
        <w:tc>
          <w:tcPr>
            <w:tcW w:w="2819" w:type="dxa"/>
            <w:gridSpan w:val="3"/>
            <w:tcBorders>
              <w:top w:val="single" w:sz="8" w:space="0" w:color="000000"/>
              <w:left w:val="single" w:sz="8" w:space="0" w:color="000000"/>
              <w:bottom w:val="double" w:sz="10" w:space="0" w:color="000000"/>
              <w:right w:val="double" w:sz="10"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bl>
    <w:p>
      <w:pPr>
        <w:pStyle w:val="TextBody"/>
        <w:bidi w:val="0"/>
        <w:spacing w:before="0" w:after="240"/>
        <w:jc w:val="both"/>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EBITDA Based Leverage Covenant</w:t>
      </w:r>
      <w:r>
        <w:rPr>
          <w:rFonts w:ascii="Times New Roman;sans-serif" w:hAnsi="Times New Roman;sans-serif"/>
          <w:b w:val="false"/>
          <w:color w:val="000000"/>
          <w:sz w:val="22"/>
        </w:rPr>
        <w:t>. Commencing with the fiscal quarter ending September 30, 2026, permit the Consolidated Net Leverage Ratio as of the last day of and for any Test Period set forth below to be greater than the ratio set forth below opposite such Test Period below:</w:t>
      </w:r>
    </w:p>
    <w:tbl>
      <w:tblPr>
        <w:tblW w:w="8925" w:type="dxa"/>
        <w:jc w:val="left"/>
        <w:tblInd w:w="0" w:type="dxa"/>
        <w:tblLayout w:type="fixed"/>
        <w:tblCellMar>
          <w:top w:w="28" w:type="dxa"/>
          <w:left w:w="28" w:type="dxa"/>
          <w:bottom w:w="28" w:type="dxa"/>
          <w:right w:w="28" w:type="dxa"/>
        </w:tblCellMar>
      </w:tblPr>
      <w:tblGrid>
        <w:gridCol w:w="1996"/>
        <w:gridCol w:w="1752"/>
        <w:gridCol w:w="1757"/>
        <w:gridCol w:w="1000"/>
        <w:gridCol w:w="1000"/>
        <w:gridCol w:w="1420"/>
      </w:tblGrid>
      <w:tr>
        <w:trPr/>
        <w:tc>
          <w:tcPr>
            <w:tcW w:w="1996"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op w:val="double" w:sz="10" w:space="0" w:color="000000"/>
              <w:left w:val="double" w:sz="10"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Test Period Ending </w:t>
            </w:r>
          </w:p>
        </w:tc>
        <w:tc>
          <w:tcPr>
            <w:tcW w:w="3420" w:type="dxa"/>
            <w:gridSpan w:val="3"/>
            <w:tcBorders>
              <w:top w:val="double" w:sz="10" w:space="0" w:color="000000"/>
              <w:left w:val="single" w:sz="8" w:space="0" w:color="000000"/>
              <w:right w:val="double" w:sz="10"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Consolidated Net Leverage Ratio</w:t>
            </w:r>
          </w:p>
        </w:tc>
      </w:tr>
      <w:tr>
        <w:trPr/>
        <w:tc>
          <w:tcPr>
            <w:tcW w:w="5505" w:type="dxa"/>
            <w:gridSpan w:val="3"/>
            <w:tcBorders>
              <w:top w:val="single" w:sz="8" w:space="0" w:color="000000"/>
              <w:left w:val="double" w:sz="10"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September 30, 2026</w:t>
            </w:r>
          </w:p>
        </w:tc>
        <w:tc>
          <w:tcPr>
            <w:tcW w:w="3420" w:type="dxa"/>
            <w:gridSpan w:val="3"/>
            <w:tcBorders>
              <w:top w:val="single" w:sz="8" w:space="0" w:color="000000"/>
              <w:left w:val="single" w:sz="8" w:space="0" w:color="000000"/>
              <w:right w:val="double" w:sz="10"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5505" w:type="dxa"/>
            <w:gridSpan w:val="3"/>
            <w:tcBorders>
              <w:top w:val="single" w:sz="8" w:space="0" w:color="000000"/>
              <w:left w:val="double" w:sz="10"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December 31, 2026</w:t>
            </w:r>
          </w:p>
        </w:tc>
        <w:tc>
          <w:tcPr>
            <w:tcW w:w="3420" w:type="dxa"/>
            <w:gridSpan w:val="3"/>
            <w:tcBorders>
              <w:top w:val="single" w:sz="8" w:space="0" w:color="000000"/>
              <w:left w:val="single" w:sz="8" w:space="0" w:color="000000"/>
              <w:right w:val="double" w:sz="10"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5505" w:type="dxa"/>
            <w:gridSpan w:val="3"/>
            <w:tcBorders>
              <w:top w:val="single" w:sz="8" w:space="0" w:color="000000"/>
              <w:left w:val="double" w:sz="10"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March 31, 2027</w:t>
            </w:r>
          </w:p>
        </w:tc>
        <w:tc>
          <w:tcPr>
            <w:tcW w:w="3420" w:type="dxa"/>
            <w:gridSpan w:val="3"/>
            <w:tcBorders>
              <w:top w:val="single" w:sz="8" w:space="0" w:color="000000"/>
              <w:left w:val="single" w:sz="8" w:space="0" w:color="000000"/>
              <w:right w:val="double" w:sz="10"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5505" w:type="dxa"/>
            <w:gridSpan w:val="3"/>
            <w:tcBorders>
              <w:top w:val="single" w:sz="8" w:space="0" w:color="000000"/>
              <w:left w:val="double" w:sz="10" w:space="0" w:color="000000"/>
              <w:bottom w:val="double" w:sz="10"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June 30, 2027 and for each Test Period ending thereafter </w:t>
            </w:r>
          </w:p>
        </w:tc>
        <w:tc>
          <w:tcPr>
            <w:tcW w:w="3420" w:type="dxa"/>
            <w:gridSpan w:val="3"/>
            <w:tcBorders>
              <w:top w:val="single" w:sz="8" w:space="0" w:color="000000"/>
              <w:left w:val="single" w:sz="8" w:space="0" w:color="000000"/>
              <w:bottom w:val="double" w:sz="10" w:space="0" w:color="000000"/>
              <w:right w:val="double" w:sz="10"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bl>
    <w:p>
      <w:pPr>
        <w:pStyle w:val="TextBody"/>
        <w:bidi w:val="0"/>
        <w:spacing w:before="0" w:after="240"/>
        <w:jc w:val="both"/>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Liquidity Covenant</w:t>
      </w:r>
      <w:r>
        <w:rPr>
          <w:rFonts w:ascii="Times New Roman;sans-serif" w:hAnsi="Times New Roman;sans-serif"/>
          <w:b w:val="false"/>
          <w:color w:val="000000"/>
          <w:sz w:val="22"/>
        </w:rPr>
        <w:t>. Permit the Liquidity, as of the end of each Business Day, to be less than the Minimum Liquidity Threshold.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Equity Cure</w:t>
      </w:r>
      <w:r>
        <w:rPr>
          <w:rFonts w:ascii="Times New Roman;sans-serif" w:hAnsi="Times New Roman;sans-serif"/>
          <w:b w:val="false"/>
          <w:color w:val="000000"/>
          <w:sz w:val="22"/>
        </w:rPr>
        <w:t xml:space="preserve">. Notwithstanding anything to the contrary in Section 7.1(a) or Section 7.1(b), in the event the Borrower fails to comply with the ARR Leverage Covenant or the EBITDA Based Leverage Covenant as of the last day of any Test Period, any cash common equity contribution to the Borrower after the first day of the applicable fiscal quarter and on or prior to the day that is ten (10) Business Days after the day on which financial statements are required to be delivered for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560705"/>
                <wp:effectExtent l="0" t="0" r="0" b="0"/>
                <wp:wrapNone/>
                <wp:docPr id="221" name="Frame2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such fiscal quarter (the “</w:t>
      </w:r>
      <w:r>
        <w:rPr>
          <w:rFonts w:ascii="Times New Roman;sans-serif" w:hAnsi="Times New Roman;sans-serif"/>
          <w:b/>
          <w:i/>
          <w:color w:val="000000"/>
          <w:sz w:val="22"/>
        </w:rPr>
        <w:t>Equity Cure Expiration Date</w:t>
      </w:r>
      <w:r>
        <w:rPr>
          <w:color w:val="000000"/>
        </w:rPr>
        <w:t>”</w:t>
      </w:r>
      <w:r>
        <w:rPr>
          <w:rFonts w:ascii="Times New Roman;sans-serif" w:hAnsi="Times New Roman;sans-serif"/>
          <w:b w:val="false"/>
          <w:color w:val="000000"/>
          <w:sz w:val="22"/>
        </w:rPr>
        <w:t>) and not otherwise applied will, at the irrevocable election of the Borrower, be included in the calculation of Recurring Revenue or Consolidated Adjusted EBITDA, as applicable, solely for the purposes of determining compliance with the ARR Leverage Covenant or the EBITDA Based Leverage Covenant, as applicable, as of such date and as of any subsequent date that includes such fiscal quarter in the applicable Test Period for purposes of determining compliance with ARR Leverage Covenant or the EBITDA Based Leverage Covenant, as applicable (any such equity contribution so included in the calculation of Recurring Revenue or Consolidated Adjusted EBITDA, a “</w:t>
      </w:r>
      <w:r>
        <w:rPr>
          <w:rFonts w:ascii="Times New Roman;sans-serif" w:hAnsi="Times New Roman;sans-serif"/>
          <w:b/>
          <w:i/>
          <w:color w:val="000000"/>
          <w:sz w:val="22"/>
        </w:rPr>
        <w:t>Specified Equity Contribution</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 if the Borrower has failed to comply with ARR Leverage Covenant or the EBITDA Based Leverage Covenant, as applicable, as of the last day of any Test Period, no Lender will be required to fund any Loans during the ten (10) Business Day period commencing on the day on which financial statements are required to be delivered for such fiscal quarter and ending on the Equity Cure Expiration Date, (ii) in each consecutive four fiscal quarter period there will be at least two fiscal quarters in which no Specified Equity Contribution is made (and no Specified Equity Contribution may be made in consecutive Fiscal Quarters), (iii) there will be no more than five Specified Equity Contributions made in the aggregate after the Closing Date, (iv) the amount of any Specified Equity Contribution will be no greater than the amount required to cause the Borrower to be in compliance with ARR Leverage Covenant or the EBITDA Based Leverage Covenant, as applicable, (v) all Specified Equity Contributions will be disregarded in the calculation of Recurring Revenue or Consolidated Adjusted EBITDA for all purposes (other than compliance with the ARR Leverage Covenant or the EBITDA Based Leverage Covenant, as applicable (including for subsequent fiscal quarters that include such fiscal quarter in the applicable period of four consecutive trailing fiscal quarters)), including calculating basket levels and other items governed by reference to Recurring Revenue or Consolidated Adjusted EBITDA, (vi) the proceeds to the Borrower of any Specified Equity Contribution will not be given </w:t>
      </w:r>
      <w:r>
        <w:rPr>
          <w:rFonts w:ascii="Times New Roman;sans-serif" w:hAnsi="Times New Roman;sans-serif"/>
          <w:b w:val="false"/>
          <w:i/>
          <w:color w:val="000000"/>
          <w:sz w:val="22"/>
        </w:rPr>
        <w:t>pro forma</w:t>
      </w:r>
      <w:r>
        <w:rPr>
          <w:color w:val="000000"/>
        </w:rPr>
        <w:t xml:space="preserve"> </w:t>
      </w:r>
      <w:r>
        <w:rPr>
          <w:rFonts w:ascii="Times New Roman;sans-serif" w:hAnsi="Times New Roman;sans-serif"/>
          <w:b w:val="false"/>
          <w:color w:val="000000"/>
          <w:sz w:val="22"/>
        </w:rPr>
        <w:t>effect in any cash netting under any ratio, or be deemed applied to reduce any debt under any ratio, for the fiscal quarter with respect to which such Specified Equity Contribution is made (but to the extent the Borrower and the Subsidiaries have applied such cash proceeds to repay Indebtedness (including pursuant to Section 2.12(e)), then such use thereof shall be recognized in any such subsequent fiscal quarter) and (vii) 100% of the proceeds of the Specified Equity Contribution shall be applied to prepay the Term Loans in accordance with Section 2.12.</w:t>
      </w:r>
    </w:p>
    <w:p>
      <w:pPr>
        <w:pStyle w:val="TextBody"/>
        <w:bidi w:val="0"/>
        <w:spacing w:lineRule="auto" w:line="288" w:before="0" w:after="240"/>
        <w:ind w:left="0" w:right="0" w:firstLine="720"/>
        <w:jc w:val="both"/>
        <w:rPr/>
      </w:pPr>
      <w:r>
        <w:rPr>
          <w:rFonts w:ascii="Times New Roman;sans-serif" w:hAnsi="Times New Roman;sans-serif"/>
          <w:b/>
          <w:color w:val="000000"/>
          <w:sz w:val="22"/>
        </w:rPr>
        <w:t>7.2    Indebtedness</w:t>
      </w:r>
      <w:r>
        <w:rPr>
          <w:rFonts w:ascii="Times New Roman;sans-serif" w:hAnsi="Times New Roman;sans-serif"/>
          <w:b w:val="false"/>
          <w:color w:val="000000"/>
          <w:sz w:val="22"/>
        </w:rPr>
        <w:t xml:space="preserve">. Create, issue, incur, assume, become liable in respect of or suffer to exist any Indebtedness, except: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Indebtedness of any Loan Party pursuant to any Loan Document;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(i) Indebtedness of any Loan Party owing to any other Loan Party, (ii) Indebtedness of any Group Member (which is not a Loan Party) owing to any other Group Member (which is not a Loan Party), (iii) Indebtedness of any Group Member that is not a Loan Party owing to any Loan Party to the extent constituting an Investment permitted by Section 7.8(f)(iii), and (iv) Indebtedness of any Loan Party owing to any Group Member that is not a Loan Party that is Subordinated Indebtedness;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Guarantee Obligations (i) of any Loan Party of the Indebtedness of any other Loan Party and (ii) of any Group Member (which is not a Loan Party) of the Indebtedness of any other Group Member,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in any case of clauses (i) or (ii), the Indebtedness so guaranteed is otherwise permitted by the terms hereof;</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560705"/>
                <wp:effectExtent l="0" t="0" r="0" b="0"/>
                <wp:wrapNone/>
                <wp:docPr id="222" name="Frame22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Indebtedness outstanding on the date hereof and, to the extent in an individual principal amount in excess of $500,000, listed on Schedule 7.2(d) and any Permitted Refinancings thereof;</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Indebtedness with respect to Capital Lease Obligations and purchase money Obligations, in each case secured by Liens permitted by Section 7.3(g) in an aggregate principal amount not to exceed the greater of (x) $1,500,000 and (y) 5% of Consolidated Adjusted EBITDA for the most recently ended Test Period, at any one time outstanding and any refinancings, refundings, renewals or extensions thereof (which do not shorten the maturity thereof or increase the principal amount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(f)    Surety Indebtedness and any other Indebtedness in respect of letters of credit, banker’s acceptances, discounted bills of exchange, warehouse receipts or similar facilities or similar arrangements in each case, incurred in the ordinary course of business;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the aggregate principal amount of Indebtedness permitted under this Section 7.2(f) shall not exceed the greater of (x) $2,500,000 and (y) 5% of Consolidated Adjusted EBITDA for the most recently ended Test Period at any time outstanding;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    (i) solely after the Conversion Date, Permitted Ratio Debt, and (ii) Credit Agreement Refinancing Indebtedness;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solely after the Delayed Draw Termination Date, Indebtedness of the Borrower and its Subsidiaries in an aggregate principal amount, for all such Indebtedness taken together, not to exceed the greater of (x) $3,000,000 and (y) 10% of Consolidated Adjusted EBITDA for the most recently ended Test Period at any one time outstanding;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    Indebtedness in respect of Cash Management Services, cash pooling arrangements and other ordinary banking arrangements or ordinary activities to manage cash balances (including Indebtedness arising from netting services overdraft protection or the honoring by a bank or other financial institution of a check, draft or similar instrument drawn against insufficient funds in the ordinary course of business), in each case in the ordinary course of business and consistent with past practice;</w:t>
      </w:r>
      <w:r>
        <w:rPr>
          <w:color w:val="000000"/>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this Section 7.1(i) shall (A) not permit any revolving credit facility, asset-based loan, receivables facility, factoring arrangement, supply chain financing or other similar facility, (B) not permit any Indebtedness for borrowed money (it being understood, for the avoidance of doubt, that credit card facilities shall not constitute Indebtedness for borrowed money), (C) only permit any cash pooling or similar arrangement among Loan Parties and (D) only consist of arrangements with commercial banks;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(j)    Indebtedness of a Person (other than a Group Member) existing at the time such Person is merged with or into the Borrower or a Subsidiary or becomes a Subsidiary in an aggregate principal amount not to exceed the greater of $5,000,000 at any time outstanding,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 such Indebtedness was not, in any case, incurred by such other Person in connection with, or in contemplation of, such merger or acquisition, (ii) such merger or acquisition constitutes a Permitted Acquisition, and (iii) with respect to any such Person who becomes a Subsidiary, (A) such Subsidiary is the only obligor in respect of such Indebtedness, and (B) to the extent such Indebtedness is permitted to be secured hereunder, only the assets of such Subsidiary secure such Indebtedness;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(k)    Indebtedness in the form of purchase price adjustments, earn-outs, seller notes, deferred compensation, or other arrangements representing acquisition consideration or deferred payments of a similar nature (collectively, “</w:t>
      </w:r>
      <w:r>
        <w:rPr>
          <w:rFonts w:ascii="Times New Roman;sans-serif" w:hAnsi="Times New Roman;sans-serif"/>
          <w:b/>
          <w:i/>
          <w:color w:val="000000"/>
          <w:sz w:val="22"/>
        </w:rPr>
        <w:t>Deferred Payment Obligations</w:t>
      </w:r>
      <w:r>
        <w:rPr>
          <w:color w:val="000000"/>
        </w:rPr>
        <w:t>”</w:t>
      </w:r>
      <w:r>
        <w:rPr>
          <w:rFonts w:ascii="Times New Roman;sans-serif" w:hAnsi="Times New Roman;sans-serif"/>
          <w:b w:val="false"/>
          <w:color w:val="000000"/>
          <w:sz w:val="22"/>
        </w:rPr>
        <w:t xml:space="preserve">) incurred in connection with any Permitted Acquisition or other Investments permitted by Section 7.8 in an aggregate principal amount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560705"/>
                <wp:effectExtent l="0" t="0" r="0" b="0"/>
                <wp:wrapNone/>
                <wp:docPr id="223" name="Frame22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 to exceed the sum of (i) the Carevive Earnout plus (ii) the Specified Acquisition Earnout, plus (iii) the greater of (x) $[***] and (y) [***]% of Consolidated Adjusted EBITDA for the most recently ended Test Period at any one time outstanding;</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    unsecured Indebtedness to trade creditors incurred in the ordinary course of business and consistent with past practices, and customer deposits and advance payments received in the ordinary course of business from customers for goods purchased in the ordinary course of business;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(m)    unsecured Indebtedness of the Borrower under the Existing Convertible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(n)    solely after the Delayed Draw Termination Date, any Permitted Convertible Indebtedness of the Borrower;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 the aggregate principal amount of Indebtedness at any time outstanding under this Section 7.2(n) shall not exceed the applicable Permitted Convertible Indebtedness Debt Cap then in effect and (ii) not less than 50% of the Net Cash Proceeds of each issuance of Permitted Convertible Indebtedness shall be applied to prepay the Term Loans in accordance with Section 2.12(a);</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    Indebtedness to the extent constituting Investments permitted under Section 7.8(d) and (e); </w:t>
      </w:r>
    </w:p>
    <w:p>
      <w:pPr>
        <w:pStyle w:val="TextBody"/>
        <w:bidi w:val="0"/>
        <w:spacing w:lineRule="auto" w:line="288" w:before="0" w:after="240"/>
        <w:ind w:left="0" w:right="0" w:firstLine="720"/>
        <w:jc w:val="both"/>
        <w:rPr>
          <w:color w:val="000000"/>
        </w:rPr>
      </w:pPr>
      <w:r>
        <w:rPr>
          <w:color w:val="000000"/>
        </w:rPr>
        <w:t>    </w:t>
      </w:r>
      <w:r>
        <w:rPr>
          <w:rFonts w:ascii="Times New Roman;sans-serif" w:hAnsi="Times New Roman;sans-serif"/>
          <w:b w:val="false"/>
          <w:color w:val="000000"/>
          <w:sz w:val="22"/>
        </w:rPr>
        <w:t xml:space="preserve">(p)    Indebtedness consisting of local working capital credit facilities incurred by Non-Loan Parties for working capital purposes in an aggregate principal amount not to exceed the greater of (x) $3,000,000 and (y) 10% of Consolidated Adjusted EBITDA for the most recently ended Test Period at any time outstanding; </w:t>
      </w:r>
    </w:p>
    <w:p>
      <w:pPr>
        <w:pStyle w:val="TextBody"/>
        <w:bidi w:val="0"/>
        <w:spacing w:lineRule="auto" w:line="288" w:before="0" w:after="240"/>
        <w:ind w:left="0" w:right="0" w:firstLine="720"/>
        <w:jc w:val="both"/>
        <w:rPr>
          <w:color w:val="000000"/>
        </w:rPr>
      </w:pPr>
      <w:r>
        <w:rPr>
          <w:color w:val="000000"/>
        </w:rPr>
        <w:t>    </w:t>
      </w:r>
      <w:r>
        <w:rPr>
          <w:rFonts w:ascii="Times New Roman;sans-serif" w:hAnsi="Times New Roman;sans-serif"/>
          <w:b w:val="false"/>
          <w:color w:val="000000"/>
          <w:sz w:val="22"/>
        </w:rPr>
        <w:t>(q)    Indebtedness consisting of the financing of insurance premiums in the ordinary course of business and consistent with past practice;</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2"/>
        </w:rPr>
        <w:t>(r)    guarantees incurred in the ordinary course of business in respect to obligations to suppliers, customers, franchisees, lessors, licensees, sub-licensees and distribution partners; and</w:t>
      </w:r>
    </w:p>
    <w:p>
      <w:pPr>
        <w:pStyle w:val="TextBody"/>
        <w:bidi w:val="0"/>
        <w:spacing w:lineRule="auto" w:line="288" w:before="0" w:after="240"/>
        <w:ind w:left="0" w:right="0" w:firstLine="720"/>
        <w:jc w:val="both"/>
        <w:rPr>
          <w:color w:val="000000"/>
        </w:rPr>
      </w:pPr>
      <w:r>
        <w:rPr>
          <w:color w:val="000000"/>
        </w:rPr>
        <w:t>    </w:t>
      </w:r>
      <w:r>
        <w:rPr>
          <w:rFonts w:ascii="Times New Roman;sans-serif" w:hAnsi="Times New Roman;sans-serif"/>
          <w:b w:val="false"/>
          <w:color w:val="000000"/>
          <w:sz w:val="22"/>
        </w:rPr>
        <w:t xml:space="preserve">(s)    unfunded pension fund and other employee benefit plan obligations and liabilities to the extent that they are permitted to remain unfunded under applicable law. </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2"/>
        </w:rPr>
        <w:t xml:space="preserve">For purposes of determining compliance with this Section 7.2, in the event that an item of Indebtedness (or any portion thereof) meets the criteria of more than one of the categories set forth above, the Borrower may, in its sole discretion, at the time of incurrence, divide, classify or reclassify, or at any later time divide, classify or reclassify, such item of Indebtedness (or any portion thereof) in any manner that complies with this covenant on the date such Indebtedness is incurred or such later time, as applicable;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all Indebtedness created pursuant to the Loan Documents will be deemed to have been incurred in reliance on the exception in Section 7.2(a) above, and will not be permitted to be reclassified pursuant to this paragraph and all Indebtedness constituting Credit Agreement Refinancing Indebtedness will be deemed to have been incurred in reliance on the exception in Section 7.2(g)(ii) and will not be permitted to be reclassified pursuant to this paragraph.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Notwithstanding anything to the contrary contained herein, (i) any intercompany Indebtedness by and among the Borrower and its Subsidiaries may not be secured on a senior basis to the Obligations or on a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basis with the Obligations and (ii) the aggregate amount of Indebtedness under any dollar basket or ratio basket hereunder incurred by Non-Loan Parties shall not exceed the greater of (x)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560705"/>
                <wp:effectExtent l="0" t="0" r="0" b="0"/>
                <wp:wrapNone/>
                <wp:docPr id="224" name="Frame22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$4,500,000 and (y) 10% of Consolidated Adjusted EBITDA for the most recently ended Test Period, at any time outstanding.</w:t>
      </w:r>
    </w:p>
    <w:p>
      <w:pPr>
        <w:pStyle w:val="TextBody"/>
        <w:bidi w:val="0"/>
        <w:spacing w:lineRule="auto" w:line="288" w:before="0" w:after="240"/>
        <w:ind w:left="0" w:right="0" w:firstLine="720"/>
        <w:jc w:val="both"/>
        <w:rPr/>
      </w:pPr>
      <w:r>
        <w:rPr>
          <w:rFonts w:ascii="Times New Roman;sans-serif" w:hAnsi="Times New Roman;sans-serif"/>
          <w:b/>
          <w:color w:val="000000"/>
          <w:sz w:val="22"/>
        </w:rPr>
        <w:t>7.3    Liens</w:t>
      </w:r>
      <w:r>
        <w:rPr>
          <w:rFonts w:ascii="Times New Roman;sans-serif" w:hAnsi="Times New Roman;sans-serif"/>
          <w:b w:val="false"/>
          <w:color w:val="000000"/>
          <w:sz w:val="22"/>
        </w:rPr>
        <w:t xml:space="preserve">. Create, incur, assume or suffer to exist any Lien upon any of its property, whether now owned or hereafter acquired, except: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Liens for Taxes not delinquent or that are being contested in good faith by appropriate proceedings;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adequate reserves with respect thereto are maintained on the books of the applicable Group Member in conformity with GAAP;</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carriers’, warehousemen’s, landlord’s, mechanics’, materialmen’s, repairmen’s or other like Liens arising in the ordinary course of business that are not overdue for a period of more than 30 days or that are being contested in good faith by appropriate proceedings;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pledges or deposits in connection with workers’ compensation, unemployment insurance and other social security legislation;</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deposits to secure the performance of bids, trade contracts (other than for borrowed money), leases, statutory obligations, appeal bonds, performance bonds and other obligations of a like nature (but specifically excluding Indebtedness described in Section 7.2(f)) incurred in the ordinary course of business (other than for Indebtedness or any Liens arising under ERISA);</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easements, rights-of-way, restrictions, encumbrances, survey exceptions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Group Members as a whole and any other exceptions to title on the title insurance policies provided in accordance with Section 6.12(b) of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(f)    Liens in existence on the date hereof and, to the extent securing obligations in an individual principal amount in excess of $500,000, listed on Schedule 7.3(f), and any Liens granted as a replacement or substitute therefor;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 no such Lien is spread to cover any additional property after the Closing Date, (ii) the amount of Indebtedness secured or benefitted thereby is not increased, (iii) the direct or any contingent obligor with respect thereto is not changed, and (iv) any renewal or extension of the obligations secured thereby is permitted by Section 7.2(d);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(g)    Liens securing Indebtedness incurred pursuant to Section 7.2(e) to finance the acquisition, improvement or construction of fixed or capital assets, or any refinancings thereof;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 such Liens shall be created substantially simultaneously with the acquisition of such fixed or capital assets, (ii) such Liens do not at any time encumber any property other than the property financed by such Indebtedness, and (iii) the amount of Indebtedness secured thereby is not increased;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Liens created pursuant to the Security Documents;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any interest or title of a lessor or sublessor or licensor or sublicensor under any lease or license entered into by a Group Member in the ordinary course of its business and covering only the assets so leased or licensed;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(j)    judgment, attachment, order or decree Liens that do not constitute a Default or an Event of Default under Section 8.1(h)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560705"/>
                <wp:effectExtent l="0" t="0" r="0" b="0"/>
                <wp:wrapNone/>
                <wp:docPr id="225" name="Frame22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(k)    bankers’ Liens, rights of setoff and other similar Liens existing solely with respect to cash, Cash Equivalents, securities, commodities and other funds on deposit in one or more accounts maintained by a Group Member,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(l)    (i) cash deposits and liens on cash and Cash Equivalents pledged to secure Indebtedness permitted under Section 7.2(f) and (ii) Liens securing reimbursement obligations with respect to letters of credit permitted by Section 7.2(f) that encumber documents and other property relating to such letters of credit;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(m)    Liens on property of a Person existing at the time such Person is acquired by, merged into or consolidated with a Group Member or becomes a Subsidiary of a Group Member or acquired by a Group Member;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 such Liens were not created in contemplation of such acquisition, merger, consolidation or Investment, (ii) such Liens do not extend to any assets other than those of such Person, and (iii) the applicable Indebtedness secured by such Lien is permitted under Section 7.2(j);</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    the replacement, extension or renewal of any Lien permitted by clause (m) above upon or in the same property theretofore subject thereto or the replacement, extension or renewal (without increase in the amount or change in any direct or contingent obligor) of the Indebtedness secured thereby;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(o)    the filing of UCC financing statements solely as precautionary measures in connection with operating leases or consignment of goods;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(p)    Liens on insurance policies or the proceeds thereof granted in the ordinary course of business to secure the financing of insurance premiums with respect to such insurance policies;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(q)    Liens granted by a Group Member that is not a Loan Party in favor of any Loan Party;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(r)    Liens constituting deposits to secure real property lease obligations as a lessee incurred by any Loan Party in the ordinary course of business;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    non-exclusive licenses or sublicenses of Intellectual Property granted by or in favor of any Group Member in the ordinary course of business or otherwise not interfering in any material respect with the ordinary course of business;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    other than with respect to Intellectual Property, leases, licenses, subleases or sublicenses granted to others in the ordinary course of business which do not interfere in any material respect with the business of the Group Members taken as a whole;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    other Liens so long the aggregate outstanding principal amount of the obligations secured thereby does not exceed (as to all Group Members) (x) prior to the Conversion Date, $5,000,000 and (y) on and after the Conversion Date the greater of (x) $5,000,000 and (y) 20% of Consolidated Adjusted EBITDA for the most recently ended Test Period at any one time;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560705"/>
                <wp:effectExtent l="0" t="0" r="0" b="0"/>
                <wp:wrapNone/>
                <wp:docPr id="226" name="Frame22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    Liens in connection with any Intellectual Property escrow agreement in the ordinary course of business;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    Liens on assets of Non-Loan Parties securing Indebtedness of Non-Loan Parties permitted to be incurred under Section 7.2 and that is non-recourse to any Loan Party;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(x)    Liens on Collateral securing Credit Agreement Refinancing Indebtedness;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such Liens shall rank junior in lien priority to the Liens securing the Obligations subject to an Intercreditor Agreement reasonably satisfactory to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For purposes of determining compliance with this Section 7.3, in the event that any Lien (or any portion thereof) meets the criteria of more than one of the categories set forth above, the Borrower may, in its sole discretion, at the time of incurrence, divide, classify or reclassify, or at any later time divide, classify or reclassify, such Lien (or any portion thereof) in any manner that complies with this covenant on the date such Lien is incurred or such later time, as applicable;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all Liens created pursuant to the Loan Documents on the Closing Date will be deemed to have been incurred in reliance on the exception in Section 7.3(h) above and shall not be permitted to be reclassified pursuant to this paragraph.</w:t>
      </w:r>
    </w:p>
    <w:p>
      <w:pPr>
        <w:pStyle w:val="TextBody"/>
        <w:bidi w:val="0"/>
        <w:spacing w:lineRule="auto" w:line="288" w:before="0" w:after="240"/>
        <w:ind w:left="0" w:right="0" w:firstLine="720"/>
        <w:jc w:val="both"/>
        <w:rPr/>
      </w:pPr>
      <w:r>
        <w:rPr>
          <w:rFonts w:ascii="Times New Roman;sans-serif" w:hAnsi="Times New Roman;sans-serif"/>
          <w:b/>
          <w:color w:val="000000"/>
          <w:sz w:val="22"/>
        </w:rPr>
        <w:t>7.4    Fundamental Changes</w:t>
      </w:r>
      <w:r>
        <w:rPr>
          <w:rFonts w:ascii="Times New Roman;sans-serif" w:hAnsi="Times New Roman;sans-serif"/>
          <w:b w:val="false"/>
          <w:color w:val="000000"/>
          <w:sz w:val="22"/>
        </w:rPr>
        <w:t>. Enter into any merger, consolidation or amalgamation, or liquidate, wind up or dissolve itself (or suffer any liquidation or dissolution), or Dispose of all or substantially all of its property or business, except: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(i) any Group Member that is not a Loan Party may be merged, amalgamated or consolidated with or into (A) any Loan Party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 Loan Party shall be the continuing or surviving Person, or the continuing or surviving Person shall become a Loan Party substantially contemporaneous with such merger, amalgamation or consolidation) or (B) any Group Member that is not a Loan Party, and (ii) any Loan Party (other than the Borrower) may be merged, amalgamated or consolidated with or into any other Loan Party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if such merger, amalgamation or consolidation involves the Borrower, the Borrower shall be the continuing or surviving Person);</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(i) any Group Member that is not a Loan Party may Dispose of any or all of its assets (at any time upon voluntary liquidation, dissolution or otherwise) (A) to any other Group Member or (B) pursuant to a Disposition permitted by Section 7.5; and (ii) any Loan Party (other than the Borrower) may Dispose of any or all of its assets (at any time upon voluntary liquidation, dissolution or otherwise) (A) to any other Loan Party or (B) pursuant to a Disposition permitted by Section 7.5;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any Investment expressly permitted by Section 7.8 may be structured as a merger, consolidation or amalgamation; and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any transaction undertaken in good faith and in consultation with the Administrative Agent to improve the tax efficiency of the Group Members may be undertaken so long as such transaction will not have any adverse effect (other than de minimis adverse effects) on the Secured Parties. </w:t>
      </w:r>
    </w:p>
    <w:p>
      <w:pPr>
        <w:pStyle w:val="TextBody"/>
        <w:bidi w:val="0"/>
        <w:spacing w:lineRule="auto" w:line="288" w:before="0" w:after="240"/>
        <w:ind w:left="0" w:right="0" w:firstLine="720"/>
        <w:jc w:val="both"/>
        <w:rPr/>
      </w:pPr>
      <w:r>
        <w:rPr>
          <w:rFonts w:ascii="Times New Roman;sans-serif" w:hAnsi="Times New Roman;sans-serif"/>
          <w:b/>
          <w:color w:val="000000"/>
          <w:sz w:val="22"/>
        </w:rPr>
        <w:t>7.5    Disposition of Property</w:t>
      </w:r>
      <w:r>
        <w:rPr>
          <w:rFonts w:ascii="Times New Roman;sans-serif" w:hAnsi="Times New Roman;sans-serif"/>
          <w:b w:val="false"/>
          <w:color w:val="000000"/>
          <w:sz w:val="22"/>
        </w:rPr>
        <w:t>. Dispose of any of its property, whether now owned or hereafter acquired, or, in the case of any Subsidiary of the Borrower, issue or sell any shares of such Subsidiary’s Capital Stock to any Person, except: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Dispositions of obsolete or worn out property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560705"/>
                <wp:effectExtent l="0" t="0" r="0" b="0"/>
                <wp:wrapNone/>
                <wp:docPr id="227" name="Frame22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109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Dispositions of Inventory in the ordinary course of business;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Dispositions permitted by Sections 7.4(b)(i)(A), 7.4(b)(ii)(A), Section 7.6, and Section 7.8;</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the sale or issuance of the Capital Stock of the Borrower in connection with any transaction that does not result in a Change of Control;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the use or transfer of money, cash or Cash Equivalents in a manner that is not prohibited by the terms of this Agreement or the other Loan Documents;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the non-exclusive licensing of Intellectual Property in the ordinary course of business;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    Dispositions of property subject to a Casualty Event;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leases or subleases of real property;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the sale or discount without recourse of accounts receivable arising in the ordinary course of business in connection with the compromise or collection thereof (other than factoring or early pay discount arrangements);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    any abandonment, cancellation, non-renewal or discontinuance of use or maintenance of Intellectual Property (or rights relating thereto) of any Group Member that the Borrower determines in good faith is desirable in the conduct of its business and not materially disadvantageous to the interests of the Lenders;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(k)    to the extent constituting Dispositions, (i) the issuance or sale of any Permitted Convertible Indebtedness by the Borrower, (ii) the sale of any Permitted Warrant Transaction by the Borrower, (iii) the purchase of any Permitted Bond Hedge Transaction by the Borrower and any exercise or unwind thereof, (iv) the performance by the Borrower of its obligations, or exercise of its rights, under any Permitted Convertible Indebtedness, any Permitted Warrant Transaction or any Permitted Bond Hedge Transaction to the extent permitted under Section 7.6 and to the extent the incurrence of such Permitted Convertible Indebtedness, Permitted Warrant Transaction or Permitted Bond Hedge Transaction was permitted under Section 7.2 or (v) the early unwind, settlement or termination of any Existing Capped Call Transactions;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    Dispositions of property by any Loan Party to any other Loan Party;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(m)    Dispositions of other property having a fair market value not to exceed in the aggregate the greater of (x) $2,500,000 and (y) 10% of Consolidated Adjusted EBITDA for the most recently ended Test Period;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    Dispositions of Investments in joint ventures to the extent required by, or made pursuant to customary buy/sell arrangements between, the joint venture parties set forth in joint venture arrangements and similar binding arrangements;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    Dispositions of non-core assets acquired in a Permitted Acquisition that the Borrower determines (in good faith) will not be used or useful in the business of the Borrower and its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560705"/>
                <wp:effectExtent l="0" t="0" r="0" b="0"/>
                <wp:wrapNone/>
                <wp:docPr id="228" name="Frame22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    (i) the issuance and sale of Permitted Convertible Notes Indebtedness permitted under Section 7.2(n) and (ii) the sale or purchase any related Permitted Bond Hedge Transaction (and the performance by the Borrower of its obligations thereunder);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(q)    to the extent constituting Dispositions, transactions described in Section 7.8(p);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(r)    other Dispositions, in an aggregate amount for any fiscal year not to exceed the greater of (x) $2,000,000 and (y) 5% of Consolidated Adjusted EBITDA for the most recently ended Test Period;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the consideration received for such assets is in an amount at least equal to the fair market value thereof (determined in good faith by the Borrower), and</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    no less than 75% of such consideration of which will be paid in cash or Cash Equivalents.</w:t>
      </w:r>
    </w:p>
    <w:p>
      <w:pPr>
        <w:pStyle w:val="TextBody"/>
        <w:bidi w:val="0"/>
        <w:spacing w:lineRule="auto" w:line="288" w:before="0" w:after="240"/>
        <w:jc w:val="both"/>
        <w:rPr/>
      </w:pPr>
      <w:r>
        <w:rPr>
          <w:rFonts w:ascii="Times New Roman;sans-serif" w:hAnsi="Times New Roman;sans-serif"/>
          <w:b w:val="false"/>
          <w:color w:val="000000"/>
          <w:sz w:val="22"/>
          <w:u w:val="single"/>
        </w:rPr>
        <w:t>provided</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that notwithstanding anything to the contrary herein, (i) no Loan Party shall make a Disposition or other transfer of Intellectual Property, in any case to a Non-Loan Party, that, individually or in the aggregate, is material to the business of the Borrower and its Subsidiaries and (ii) the Borrower and its Subsidiaries shall not enter into any factoring arrangements or receivables facilities.</w:t>
      </w:r>
    </w:p>
    <w:p>
      <w:pPr>
        <w:pStyle w:val="TextBody"/>
        <w:bidi w:val="0"/>
        <w:spacing w:lineRule="auto" w:line="288" w:before="0" w:after="240"/>
        <w:ind w:left="0" w:right="0" w:firstLine="720"/>
        <w:jc w:val="both"/>
        <w:rPr/>
      </w:pPr>
      <w:r>
        <w:rPr>
          <w:rFonts w:ascii="Times New Roman;sans-serif" w:hAnsi="Times New Roman;sans-serif"/>
          <w:b/>
          <w:color w:val="000000"/>
          <w:sz w:val="22"/>
        </w:rPr>
        <w:t>7.6    Restricted Payments</w:t>
      </w:r>
      <w:r>
        <w:rPr>
          <w:rFonts w:ascii="Times New Roman;sans-serif" w:hAnsi="Times New Roman;sans-serif"/>
          <w:b w:val="false"/>
          <w:color w:val="000000"/>
          <w:sz w:val="22"/>
        </w:rPr>
        <w:t>. Make any payment with respect to any Deferred Payment Obligation, make any payment or prepayment of principal of, premium, if any, or interest on, or redemption, purchase, retirement, defeasance (including in-substance or legal defeasance), sinking fund or similar payment with respect to, any Junior Indebtedness,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Times New Roman;sans-serif" w:hAnsi="Times New Roman;sans-serif"/>
          <w:b/>
          <w:i/>
          <w:color w:val="000000"/>
          <w:sz w:val="22"/>
        </w:rPr>
        <w:t>Restricted Payments</w:t>
      </w:r>
      <w:r>
        <w:rPr>
          <w:color w:val="000000"/>
        </w:rPr>
        <w:t>”</w:t>
      </w:r>
      <w:r>
        <w:rPr>
          <w:rFonts w:ascii="Times New Roman;sans-serif" w:hAnsi="Times New Roman;sans-serif"/>
          <w:b w:val="false"/>
          <w:color w:val="000000"/>
          <w:sz w:val="22"/>
        </w:rPr>
        <w:t>), except that: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(i) any Subsidiary may make Restricted Payments to any Loan Party, and (ii) any Subsidiary that is not a Loan Party may make Restricted Payments to any other Group Member or, to any other holder of its Capital Stock on a pro rata basis or a basis more favorable to the Loan Parties;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each Loan Party may purchase Capital Stock or Capital Stock options from present or former directors, officers or employees of any Group Member, including upon the death, disability or termination of employment of such director, officer or employee, or on the open market;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aggregate amount of payments made under this clause (b) shall not exceed, in any fiscal year of the Borrower, the greater of (x) $[***] and (y)[***] of Consolidated Adjusted EBITDA for the most recently ended Test Period;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[reserved];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any Subsidiary of the Borrower may make Restricted Payments to permit the Borrower or any parent entity of which the Borrower is a Subsidiary to pay any Taxes that are due and payable by the Borrower or any such parent entity (but such payments shall be permitted (i) only to the extent the applicable Taxes of the Borrower or such parent entity are attributable to the Borrower; or such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560705"/>
                <wp:effectExtent l="0" t="0" r="0" b="0"/>
                <wp:wrapNone/>
                <wp:docPr id="229" name="Frame22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parent entity’s, as applicable, ownership of the Loan Parties and (ii) for the avoidance of doubt, without duplication of any such Taxes actually paid or withheld and paid by the Borrower or its Subsidiaries);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(e)    each Group Member may purchase, redeem or otherwise acquire Capital Stock issued by it with the proceeds received from the substantially concurrent issue of new shares of its common stock or other common Capital Stock;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any such issuance is otherwise permitted hereunder (including by Section 7.5(d));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    each Group Member may make (i) repurchases of Capital Stock deemed to occur upon exercise of stock options or warrants if such repurchased Capital Stock represents a portion of the exercise price of such options or warrants granted or awarded to a current or former officer, director, employee or consultant, and (ii) repurchases of Capital Stock deemed to occur upon the withholding of a portion of the Capital Stock granted or awarded to a current or former officer, director, employee or consultant to pay for the taxes payable by such Person upon such grant or award (or upon vesting thereof);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(g)    so long as no Default or Event of Default has occurred and is continuing or would immediately result therefrom, the Borrower and its Subsidiaries may make Restricted Payments not otherwise permitted by one of the foregoing clauses of this Section 7.6;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aggregate amount of all such Restricted Payments made pursuant to this clause (g) shall not exceed 5% of Consolidated Adjusted EBITDA for the most recently ended Test Period;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the Group Members may make scheduled payments of interest and agency or trustee fees on Junior Indebtedness, to the extent required by the terms of the documents governing such Junior Indebtedness;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    the Borrower and its Subsidiaries may make Restricted Payments in respect of required Deferred Payment Obligations permitted under Section 7.2(k);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immediately before and immediately after giving effect to such Restricted Payment, (A) no Default or Event of Default shall have occurred and be continuing, (B) the Borrower and its Subsidiaries shall be in compliance with the Financial Leverage Covenants calculated on a Pro Forma Basis as of the end of the most recent Test Period and (C) Liquidity shall be no less than (x) with respect to any earn-outs, and other payments the terms of which are in any respect contingent upon revenues, income, cash flow, profits, performance (or the like) of any person or business, the Minimum Liquidity Threshold, and (y) with respect to any deferred or delayed purchase price obligations, the sum of (1) $100,000,000 </w:t>
      </w:r>
      <w:r>
        <w:rPr>
          <w:rFonts w:ascii="Times New Roman;sans-serif" w:hAnsi="Times New Roman;sans-serif"/>
          <w:b w:val="false"/>
          <w:i/>
          <w:color w:val="000000"/>
          <w:sz w:val="22"/>
        </w:rPr>
        <w:t xml:space="preserve">plus </w:t>
      </w:r>
      <w:r>
        <w:rPr>
          <w:rFonts w:ascii="Times New Roman;sans-serif" w:hAnsi="Times New Roman;sans-serif"/>
          <w:b w:val="false"/>
          <w:color w:val="000000"/>
          <w:sz w:val="22"/>
        </w:rPr>
        <w:t xml:space="preserve">(2) the Existing Convertible Notes Redemption Amount as of such date;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    [reserved];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(k)    [reserved];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(l)    the Group Members may make Restricted Payments (including, for the avoidance of doubt, with respect to Junior Indebtedness) in an aggregate amount not to exceed the Available Amount as in effect immediately before such Restricted Payment;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 no Event of Default has occurred and is continuing or would immediately result therefrom and (ii) other than in the case of utilizing clauses (b), (c) or (e) of the definition of “Available Amount”, the Consolidated Net Leverage Ratio at the time of making such Restricted Payment shall be less than or equal to 4.00:1.00 calculated on a Pro Forma Basis as of the end of the most recent Test Period;</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560705"/>
                <wp:effectExtent l="0" t="0" r="0" b="0"/>
                <wp:wrapNone/>
                <wp:docPr id="230" name="Frame23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(m)    (i) the Borrower may make Permitted Convertible Note Payments and (ii) the Borrower may perform its obligations under the Existing Capped Call Transactions including making payments and/or deliveries due upon any unwind settlement or termination thereof;</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    the Borrower may enter into (and make premiums in connection therewith) or make any required payment and/or delivery with respect to, or in connection with, any early unwind, settlement or termination of any Permitted Bond Hedge Transactions or any Permitted Warrant Transaction;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    with respect to Junior Indebtedness (including the Existing Convertible Notes and any Permitted Convertible Indebtedness), (i) so long as no Default or Event of Default has occurred and is continuing or would result therefrom, the Borrower and its Subsidiaries may make payments with respect to Junior Indebtedness in an aggregate principal amount not to exceed the greater of (x) $3,000,000 and (y) 10% of Consolidated Adjusted EBITDA for the most recently ended Test Period, (ii) the Borrower and its Subsidiaries may make payments in connection with a Permitted Refinancing of such Indebtedness and (iii) the Borrower and its Subsidiaries may convert or exchange such Indebtedness into common stock of the Borrower.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to the contrary herein, no Loan Party shall make a Restricted Payment or any other transfer of Intellectual Property in any case to a Non-Loan Party, that, individually or in the aggregate, is material to the business of the Borrower and its Subsidiaries.</w:t>
      </w:r>
    </w:p>
    <w:p>
      <w:pPr>
        <w:pStyle w:val="TextBody"/>
        <w:bidi w:val="0"/>
        <w:spacing w:lineRule="auto" w:line="288" w:before="0" w:after="240"/>
        <w:ind w:left="0" w:right="0" w:firstLine="720"/>
        <w:jc w:val="both"/>
        <w:rPr/>
      </w:pPr>
      <w:r>
        <w:rPr>
          <w:rFonts w:ascii="Times New Roman;sans-serif" w:hAnsi="Times New Roman;sans-serif"/>
          <w:b/>
          <w:color w:val="000000"/>
          <w:sz w:val="22"/>
        </w:rPr>
        <w:t>7.7    [Reserved]</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2"/>
        </w:rPr>
        <w:t>7.8    Investments</w:t>
      </w:r>
      <w:r>
        <w:rPr>
          <w:rFonts w:ascii="Times New Roman;sans-serif" w:hAnsi="Times New Roman;sans-serif"/>
          <w:b w:val="false"/>
          <w:color w:val="000000"/>
          <w:sz w:val="22"/>
        </w:rPr>
        <w:t>. Make any advance, loan, extension of credit (by way of guarantee or otherwise) or capital contribution to, or purchase any Capital Stock, bonds, notes, debentures or other debt securities of, or any assets constituting a business unit of, or make any other investment in, any Person (all of the foregoing, “</w:t>
      </w:r>
      <w:r>
        <w:rPr>
          <w:rFonts w:ascii="Times New Roman;sans-serif" w:hAnsi="Times New Roman;sans-serif"/>
          <w:b/>
          <w:i/>
          <w:color w:val="000000"/>
          <w:sz w:val="22"/>
        </w:rPr>
        <w:t>Investments</w:t>
      </w:r>
      <w:r>
        <w:rPr>
          <w:color w:val="000000"/>
        </w:rPr>
        <w:t>”</w:t>
      </w:r>
      <w:r>
        <w:rPr>
          <w:rFonts w:ascii="Times New Roman;sans-serif" w:hAnsi="Times New Roman;sans-serif"/>
          <w:b w:val="false"/>
          <w:color w:val="000000"/>
          <w:sz w:val="22"/>
        </w:rPr>
        <w:t>), except: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extensions of trade credit in the ordinary course of business;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Investments in cash and Cash Equivalents;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(i) Guarantee Obligations permitted by Section 7.2 and (ii) Investments listed on Schedule 7.8 and any refinancings, refundings, renewals or extensions thereof which do not increase the principal amount thereof;</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loans and advances to employees, officers and directors of any Group Member in the ordinary course of business (including for travel, entertainment and relocation expenses) in an aggregate amount for all Group Members not to exceed the greater of (i) $5,000,000 and (ii) 5% of Consolidated Adjusted EBITDA for the most recently ended Test Period at any one time outstanding;</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Investments in joint ventures or a minority or non-controlling interest in the Capital Stock of any Person (other than an Affiliate of the Borrower), in the same or similar business to that of the Group Members, in an aggregate amount not to exceed at any time outstanding the greater of (x) $1,500,000 and (y) 5% of Consolidated Adjusted EBITDA for the most recently ended Test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(f)    intercompany Investments by (i) any Loan Party in any other Loan Party, (ii) any Non-Loan Party in any other Group Member, or (iii) any Loan Party in any Non-Loan Party in an aggregate amount not to exceed at any time outstanding $10,000,000;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with respect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560705"/>
                <wp:effectExtent l="0" t="0" r="0" b="0"/>
                <wp:wrapNone/>
                <wp:docPr id="231" name="Frame23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clause (iii) (the “</w:t>
      </w:r>
      <w:r>
        <w:rPr>
          <w:rFonts w:ascii="Times New Roman;sans-serif" w:hAnsi="Times New Roman;sans-serif"/>
          <w:b/>
          <w:i/>
          <w:color w:val="000000"/>
          <w:sz w:val="22"/>
        </w:rPr>
        <w:t>Non-Loan Party Dedicated Investments Basket</w:t>
      </w:r>
      <w:r>
        <w:rPr>
          <w:color w:val="000000"/>
        </w:rPr>
        <w:t>”</w:t>
      </w:r>
      <w:r>
        <w:rPr>
          <w:rFonts w:ascii="Times New Roman;sans-serif" w:hAnsi="Times New Roman;sans-serif"/>
          <w:b w:val="false"/>
          <w:color w:val="000000"/>
          <w:sz w:val="22"/>
        </w:rPr>
        <w:t>), (A) no Default or Event of Default exists or would immediately result therefrom and (B) any such Investments by Loan Parties in Non-Loan Parties shall be subject to the Non-Loan Party Investments Cap;</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    Investments in the ordinary course of business consisting of endorsements of negotiable instruments for collection or deposit;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    Investments received in settlement of amounts due to any Group Member effected in the ordinary course of business or owing to such Group Member as a result of Insolvency Proceedings involving an account debtor or upon the foreclosure or enforcement of any Lien in favor of such Group Member;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    Investments held by any Person as of the date such Person is acquired in connection with a Permitted Acquisition,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 such Investments were not made, in any case, by such Person in connection with, or in contemplation of, such Permitted Acquisition, and (B) with respect to any such Person which becomes a Subsidiary as a result of such Permitted Acquisition, such Subsidiary remains the only holder of such Investment;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(j)    in addition to Investments otherwise expressly permitted by this Section, so long as no Default or Event of Defaults exists or would result therefrom, Investments by the Group Members the aggregate outstanding amount of all of which Investments (valued at cost) does not exceed (x) prior to the Conversion Date, $10,000,000, and (y) on or after the Conversion Date, the greater of (x) $6,000,000 and (y) 20% of Consolidated Adjusted EBITDA for the most recently ended Test Period;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 no Default or Event of Default exists or would result therefrom and (B) any such Investments by Loan Parties in Non-Loan Parties shall be subject to the Non-Loan Party Investments Cap;</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(k)    deposits made to secure the performance of leases, licenses or contracts in the ordinary course of business, and other deposits made in connection with the incurrence of Liens permitted under Section 7.3;</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    the licensing or contribution of Intellectual Property pursuant to joint marketing arrangements with other Persons in the ordinary course of business;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    promissory notes and other non-cash consideration received in connection with Dispositions permitted by Section 7.5, to the extent not exceeding the limits specified therein with respect to the receipt of non-cash consideration in connection with such Dispositions;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(n)    purchases or other acquisitions by the Borrower or any of its Subsidiaries of the Capital Stock in a Person that, upon the consummation thereof, will be a Subsidiary (including as a result of a merger or consolidation) or all or substantially all of the assets of, or assets constituting one or more business units of, any Person (each, a “</w:t>
      </w:r>
      <w:r>
        <w:rPr>
          <w:rFonts w:ascii="Times New Roman;sans-serif" w:hAnsi="Times New Roman;sans-serif"/>
          <w:b/>
          <w:i/>
          <w:color w:val="000000"/>
          <w:sz w:val="22"/>
        </w:rPr>
        <w:t>Permitted Acquisition</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with respect to each such purchase or other acquisition:</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the newly-created or acquired Subsidiary (or assets acquired in connection with such asset sale) shall be (x) in the same or a related line of business as that conducted by the Borrower on the date hereof, or (y) in a business that is ancillary to and in furtherance of the line of business as that conducted by the Group Members on the date hereof;</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560705"/>
                <wp:effectExtent l="0" t="0" r="0" b="0"/>
                <wp:wrapNone/>
                <wp:docPr id="232" name="Frame23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    all transactions related to such purchase or acquisition shall be consummated in all material respects in accordance with all Requirements of Law;</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(iii)    no Loan Party shall, as a result of or in connection with any such purchase or acquisition, assume or incur any direct or contingent liabilities (whether relating to environmental, tax, litigation or other matters) that, as of the date of such purchase or acquisition, could reasonably be expected to result in the existence or incurrence of a Material Adverse Effect;</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(iv)    [reserved];</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    the Borrower shall provide to the Administrative Agent as soon as available but in any event not later than five (5) Business Days (or such later date as the Administrative Agent may agree in its sole discretion) after the execution thereof, a copy of any executed purchase agreement or similar agreement with respect to any such purchase or acquisition;</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 xml:space="preserve">(vi)    any such newly-created or acquired Subsidiary, or the Loan Party that is the acquirer of assets in connection with an asset acquisition, shall comply with the requirements of </w:t>
      </w:r>
      <w:r>
        <w:rPr>
          <w:rFonts w:ascii="Times New Roman;sans-serif" w:hAnsi="Times New Roman;sans-serif"/>
          <w:b w:val="false"/>
          <w:color w:val="000000"/>
          <w:sz w:val="22"/>
          <w:u w:val="single"/>
        </w:rPr>
        <w:t>Section 6.12</w:t>
      </w:r>
      <w:r>
        <w:rPr>
          <w:color w:val="000000"/>
        </w:rPr>
        <w:t xml:space="preserve"> </w:t>
      </w:r>
      <w:r>
        <w:rPr>
          <w:rFonts w:ascii="Times New Roman;sans-serif" w:hAnsi="Times New Roman;sans-serif"/>
          <w:b w:val="false"/>
          <w:color w:val="000000"/>
          <w:sz w:val="22"/>
        </w:rPr>
        <w:t xml:space="preserve">(within the time periods specified therein), except to the extent compliance with </w:t>
      </w:r>
      <w:r>
        <w:rPr>
          <w:rFonts w:ascii="Times New Roman;sans-serif" w:hAnsi="Times New Roman;sans-serif"/>
          <w:b w:val="false"/>
          <w:color w:val="000000"/>
          <w:sz w:val="22"/>
          <w:u w:val="single"/>
        </w:rPr>
        <w:t>Section 6.12</w:t>
      </w:r>
      <w:r>
        <w:rPr>
          <w:color w:val="000000"/>
        </w:rPr>
        <w:t xml:space="preserve"> </w:t>
      </w:r>
      <w:r>
        <w:rPr>
          <w:rFonts w:ascii="Times New Roman;sans-serif" w:hAnsi="Times New Roman;sans-serif"/>
          <w:b w:val="false"/>
          <w:color w:val="000000"/>
          <w:sz w:val="22"/>
        </w:rPr>
        <w:t xml:space="preserve">is prohibited by pre-existing Contractual Obligations or Requirements of Law binding on such Subsidiary or its properties; </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(vii)    [Reserved];</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 xml:space="preserve">(viii)    subject to the provisions of Section 1.5 to the extent an LCA Election has been made with respect to such Permitted Acquisition, (A) immediately before and immediately after giving effect to any such purchase or other acquisition, no Default or Event of Default shall have occurred and be continuing, (B) except with respect to a Delayed Draw Funded Acquisition, immediately after giving effect to such purchase or other acquisition, the Consolidated Secured Net Leverage Ratio for the Test Period most recently ended, calculated on a Pro Forma Basis after giving effect to the applicable Permitted Acquisition, such use of proceeds and any related transactions, shall not exceed the Consolidated Secured Net Leverage Ratio for such Test Period as in effect immediately prior to such purchase or other acquisition, (C) Liquidity shall be no less than the sum of (x) $100,000,000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(ii) the Existing Convertible Notes Redemption Amount as of such date, and (D) immediately after giving effect to the Permitted Acquisition, the Borrower and its Subsidiaries shall be in compliance with the applicable Financial Leverage Covenants calculated on a Pro Forma Basis as of the end of the most recent Test Period;</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(ix)    [reserved];</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(x)    no Indebtedness for borrowed money of the Person or assets being purchased or acquired is assumed or incurred in connection with any such purchase or acquisition other than Indebtedness permitted by the terms of Section 7.2(j);</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    such purchase or acquisition shall not constitute an Unfriendly Acquisition; </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(xii)    the aggregate amount of the cash consideration (including Deferred Payment Obligations) paid by all Group Members in connection with Permitted Acquisitions of Persons that do not become Loan Parties (or of assets which do not become directly owned by Loan Parties) consummated from and after the Closing Date shall not exceed 7.5% of Consolidated Adjusted EBITDA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560705"/>
                <wp:effectExtent l="0" t="0" r="0" b="0"/>
                <wp:wrapNone/>
                <wp:docPr id="233" name="Frame23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as of the most recently ended Test Period (the “</w:t>
      </w:r>
      <w:r>
        <w:rPr>
          <w:rFonts w:ascii="Times New Roman;sans-serif" w:hAnsi="Times New Roman;sans-serif"/>
          <w:b/>
          <w:i/>
          <w:color w:val="000000"/>
          <w:sz w:val="22"/>
        </w:rPr>
        <w:t>Non-Loan Party Permitted Acquisitions Cap</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(x) for the avoidance of doubt, Permitted Acquisitions that reduce available capacity under, and are subject to, the Non-Loan Party Permitted Acquisitions Cap will also reduce available capacity under, and be subject to, the Non-Loan Party Investments Cap; and (y) the Non-Loan Party Permitted Acquisitions Cap will not apply to Permitted Acquisitions funded entirely with the proceeds of a substantially concurrent equity issuance or cash capital contribution (other than the proceeds of any Specified Equity Contribution or Disqualified Stock); and </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 xml:space="preserve">(xiii)    the target whose stock is being acquired did not have </w:t>
      </w:r>
      <w:r>
        <w:rPr>
          <w:rFonts w:ascii="Times New Roman;sans-serif" w:hAnsi="Times New Roman;sans-serif"/>
          <w:b w:val="false"/>
          <w:i/>
          <w:color w:val="000000"/>
          <w:sz w:val="22"/>
        </w:rPr>
        <w:t>pro forma</w:t>
      </w:r>
      <w:r>
        <w:rPr>
          <w:color w:val="000000"/>
        </w:rPr>
        <w:t xml:space="preserve"> </w:t>
      </w:r>
      <w:r>
        <w:rPr>
          <w:rFonts w:ascii="Times New Roman;sans-serif" w:hAnsi="Times New Roman;sans-serif"/>
          <w:b w:val="false"/>
          <w:color w:val="000000"/>
          <w:sz w:val="22"/>
        </w:rPr>
        <w:t xml:space="preserve">Consolidated Adjusted EBITDA that is negative during the most recent consecutive 12 month period, for which financial statements are available pursuant to the applicable acquisition agreement, most recently concluded prior to the date such acquisition or other purchase is consummated (it being understood, in case of this clause (xiii), that Consolidated Adjusted EBITDA of the applicable target shall be calculated without giving effect to the Shared Cap with respect to clause (a)(xix) of the definition of Consolidated Adjusted EBITDA); </w:t>
      </w:r>
    </w:p>
    <w:p>
      <w:pPr>
        <w:pStyle w:val="TextBody"/>
        <w:bidi w:val="0"/>
        <w:spacing w:lineRule="auto" w:line="288" w:before="0" w:after="240"/>
        <w:jc w:val="both"/>
        <w:rPr/>
      </w:pP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further that, notwithstanding the foregoing, the Specified Acquisition shall only be required to satisfy clauses (v), (vi) and (xii) above to constitute a Permitted Acquisition and be permitted under this clause (n);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(o)    to the extent constituting Investments, (x) the issuance, or repurchase, of any Permitted Convertible Indebtedness, (y) the performance of obligations under (including for the avoidance of doubt, the entry into, payment of any premium with respect to, and the settlement of) any Permitted Bond Hedge Transaction or any Permitted Warrant Transaction and/or (z) any early unwind, settlement or termination of the Existing Capped Call Transactions, in the case of each of clauses (x) through (z), to the extent to permitted under Section 7.6</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(p)    intercompany cost-plus or transfer pricing transactions in connection with the ongoing business operations of Subsidiaries of the Borrower, consistent with past practices;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(q)    Investments consisting of Restricted Payments permitted under Section 7.6(g);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(r)    Investments made after the Conversion Date, so long as (A) no Event of Default will have occurred and be continuing or would result therefrom and (B) after giving effect to such Investment, the Consolidated Net Leverage Ratio does not exceed 4.00:1.00 calculated on a Pro Forma Basis as of the end of the most recent Test Period (this clause (r), the “</w:t>
      </w:r>
      <w:r>
        <w:rPr>
          <w:rFonts w:ascii="Times New Roman;sans-serif" w:hAnsi="Times New Roman;sans-serif"/>
          <w:b/>
          <w:i/>
          <w:color w:val="000000"/>
          <w:sz w:val="22"/>
        </w:rPr>
        <w:t>Ratio Investments Basket</w:t>
      </w:r>
      <w:r>
        <w:rPr>
          <w:color w:val="000000"/>
        </w:rPr>
        <w:t>”</w:t>
      </w:r>
      <w:r>
        <w:rPr>
          <w:rFonts w:ascii="Times New Roman;sans-serif" w:hAnsi="Times New Roman;sans-serif"/>
          <w:b w:val="false"/>
          <w:color w:val="000000"/>
          <w:sz w:val="22"/>
        </w:rPr>
        <w: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(s)    Investments in an aggregate amount not to exceed the Available Amount as in effect immediately before such Investment;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 no Event of Default has occurred and is continuing or would result therefrom and (ii) other than in the case of utilizing clauses (b), (c) or (e) of the definition of “Available Amount”, the Consolidated Net Leverage Ratio at the time of making such Investment shall be less than or equal to 4.50:1.00 calculated on a Pro Forma Basis as of the end of the most recent Test Period.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purposes of determining compliance with this Section 7.8, in the event that any Investment (or any portion thereof) meets the criteria of more than one of the categories set forth above, the Borrower may, in its sole discretion, at the time such Investment is made, divide, classify or reclassify, or at any later time divide, classify or reclassify, such Investment (or any portion thereof) in any manner that complies with this covenant on the date such Investment is made or such later time, as applicable. The amount of any Investment at any time shall be the amount of cash and the fair market value of other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560705"/>
                <wp:effectExtent l="0" t="0" r="0" b="0"/>
                <wp:wrapNone/>
                <wp:docPr id="234" name="Frame23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property actually invested (measured at the time made), and shall be net of any subsequent return with respect to such Investment (whether in the form of a return of capital, interest, dividend or otherwise) up to the aggregate original amount of such Investment. Notwithstanding anything to the contrary herein, (a) the Loan Parties shall cause all Intellectual Property that, individually or in the aggregate, is material to the business of the Borrower and its Subsidiaries to be owned by the Borrower or another Loan Party, (b) any intercompany Indebtedness by and among the Borrower and its Subsidiaries may not be secured on a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basis. and (c) Investments in non-Loan Parties shall be subject to, and not exceed, the Non-Loan Party Investments Cap.</w:t>
      </w:r>
    </w:p>
    <w:p>
      <w:pPr>
        <w:pStyle w:val="TextBody"/>
        <w:bidi w:val="0"/>
        <w:spacing w:lineRule="auto" w:line="288" w:before="0" w:after="240"/>
        <w:ind w:left="0" w:right="0" w:firstLine="720"/>
        <w:jc w:val="both"/>
        <w:rPr/>
      </w:pPr>
      <w:r>
        <w:rPr>
          <w:rFonts w:ascii="Times New Roman;sans-serif" w:hAnsi="Times New Roman;sans-serif"/>
          <w:b/>
          <w:color w:val="000000"/>
          <w:sz w:val="22"/>
        </w:rPr>
        <w:t>7.9    [Reserved]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7.10    [Reserved]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7.11    Transactions with Affiliates</w:t>
      </w:r>
      <w:r>
        <w:rPr>
          <w:rFonts w:ascii="Times New Roman;sans-serif" w:hAnsi="Times New Roman;sans-serif"/>
          <w:b w:val="false"/>
          <w:color w:val="000000"/>
          <w:sz w:val="22"/>
        </w:rPr>
        <w:t xml:space="preserve">. Enter into any transaction (other than a transaction scheduled on Schedule 7.11, a transaction permitted under Section 7.2, 7.4, 7.6 or 7.8, or any agreement for the sharing of Taxes in the ordinary course of business or otherwise reasonable and customary for similar businesses), including any purchase, sale, lease or exchange of property, the rendering of any service or the payment of any management, advisory or similar fees, with any Affiliate (other than transactions solely between Group Members that are not Loan Parties, transactions solely between Group Members that are Loan Parties and Dispositions permitted by Section 7.5 where the vendor thereunder is a Group Member that is not a Loan Party and the purchaser thereunder is a Group Member that is a Loan Party so long as the purchase price therefor does not exceed fair market value (as reasonably determined by the Borrower in good faith)) unless such transaction is (i) otherwise permitted under this Agreement, (ii) in the ordinary course of business of the relevant Group Member, and (iii) upon fair and reasonable terms no less favorable to the relevant Group Member than it would obtain in a comparable arm’s length transaction with a Person that is not an Affiliate. </w:t>
      </w:r>
    </w:p>
    <w:p>
      <w:pPr>
        <w:pStyle w:val="TextBody"/>
        <w:bidi w:val="0"/>
        <w:spacing w:lineRule="auto" w:line="288" w:before="0" w:after="240"/>
        <w:ind w:left="0" w:right="0" w:firstLine="720"/>
        <w:jc w:val="both"/>
        <w:rPr/>
      </w:pPr>
      <w:r>
        <w:rPr>
          <w:rFonts w:ascii="Times New Roman;sans-serif" w:hAnsi="Times New Roman;sans-serif"/>
          <w:b/>
          <w:color w:val="000000"/>
          <w:sz w:val="22"/>
        </w:rPr>
        <w:t>7.12    Sale Leaseback Transactions</w:t>
      </w:r>
      <w:r>
        <w:rPr>
          <w:rFonts w:ascii="Times New Roman;sans-serif" w:hAnsi="Times New Roman;sans-serif"/>
          <w:b w:val="false"/>
          <w:color w:val="000000"/>
          <w:sz w:val="22"/>
        </w:rPr>
        <w:t>. Enter into any Sale Leaseback Transaction unless (a) the Disposition of the applicable property subject to such Sale Leaseback Transaction is permitted under Section 7.5, (b) any Liens in the property of any Group Member incurred in connection with any such Sale Leaseback Transaction are permitted under Section 7.3 and (c) such Sale Leaseback Transaction is not with an Affiliate of any Loan Party.</w:t>
      </w:r>
    </w:p>
    <w:p>
      <w:pPr>
        <w:pStyle w:val="TextBody"/>
        <w:bidi w:val="0"/>
        <w:spacing w:lineRule="auto" w:line="288" w:before="0" w:after="240"/>
        <w:ind w:left="0" w:right="0" w:firstLine="720"/>
        <w:jc w:val="both"/>
        <w:rPr/>
      </w:pPr>
      <w:r>
        <w:rPr>
          <w:rFonts w:ascii="Times New Roman;sans-serif" w:hAnsi="Times New Roman;sans-serif"/>
          <w:b/>
          <w:color w:val="000000"/>
          <w:sz w:val="22"/>
        </w:rPr>
        <w:t>7.13    Swap Agreements</w:t>
      </w:r>
      <w:r>
        <w:rPr>
          <w:rFonts w:ascii="Times New Roman;sans-serif" w:hAnsi="Times New Roman;sans-serif"/>
          <w:b w:val="false"/>
          <w:color w:val="000000"/>
          <w:sz w:val="22"/>
        </w:rPr>
        <w:t>. Enter into any Swap Agreement, other than (a) any Swap Agreement in respect of interest rates that is entered into to hedge or mitigate risks, and not for speculative purposes, in the ordinary course of the Borrower or such Guarantor’s business or in order to effectively cap, collar or exchange interest rates (from floating to fixed rates, from one floating rate to another floating rate or otherwise) with respect to any interest bearing liability or investment of the Borrower or such Guarantor, (b) any Swap Agreement in respect of currency exchange rates that is not entered into for speculative purposes, (c) Existing Capped Call Transactions, (d) any Permitted Bond Hedge Transaction and (e) any Permitted Warrant Transaction.</w:t>
      </w:r>
    </w:p>
    <w:p>
      <w:pPr>
        <w:pStyle w:val="TextBody"/>
        <w:bidi w:val="0"/>
        <w:spacing w:lineRule="auto" w:line="288" w:before="0" w:after="240"/>
        <w:ind w:left="0" w:right="0" w:firstLine="720"/>
        <w:jc w:val="both"/>
        <w:rPr/>
      </w:pPr>
      <w:r>
        <w:rPr>
          <w:rFonts w:ascii="Times New Roman;sans-serif" w:hAnsi="Times New Roman;sans-serif"/>
          <w:b/>
          <w:color w:val="000000"/>
          <w:sz w:val="22"/>
        </w:rPr>
        <w:t>7.14    Accounting Changes</w:t>
      </w:r>
      <w:r>
        <w:rPr>
          <w:rFonts w:ascii="Times New Roman;sans-serif" w:hAnsi="Times New Roman;sans-serif"/>
          <w:b w:val="false"/>
          <w:color w:val="000000"/>
          <w:sz w:val="22"/>
        </w:rPr>
        <w:t>. Make any change in its (a) accounting policies or reporting practices, except as required by GAAP or permitted by GAAP, or (b) fiscal year, in each case, except as agreed to by the Administrative Agent.</w:t>
      </w:r>
    </w:p>
    <w:p>
      <w:pPr>
        <w:pStyle w:val="TextBody"/>
        <w:bidi w:val="0"/>
        <w:spacing w:lineRule="auto" w:line="288" w:before="0" w:after="240"/>
        <w:ind w:left="0" w:right="0" w:firstLine="720"/>
        <w:jc w:val="both"/>
        <w:rPr/>
      </w:pPr>
      <w:r>
        <w:rPr>
          <w:rFonts w:ascii="Times New Roman;sans-serif" w:hAnsi="Times New Roman;sans-serif"/>
          <w:b/>
          <w:color w:val="000000"/>
          <w:sz w:val="22"/>
        </w:rPr>
        <w:t>7.15    Negative Pledge Clauses</w:t>
      </w:r>
      <w:r>
        <w:rPr>
          <w:rFonts w:ascii="Times New Roman;sans-serif" w:hAnsi="Times New Roman;sans-serif"/>
          <w:b w:val="false"/>
          <w:color w:val="000000"/>
          <w:sz w:val="22"/>
        </w:rPr>
        <w:t xml:space="preserve">. Enter into or suffer to exist or become effective any agreement that prohibits or limits the ability of any Loan Party to create, incur, assume or suffer to exist any Lien upon any of its property or revenues, whether now owned or hereafter acquired, to secure its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560705"/>
                <wp:effectExtent l="0" t="0" r="0" b="0"/>
                <wp:wrapNone/>
                <wp:docPr id="235" name="Frame23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(c) customary restrictions on the assignment of leases, licenses and other agreements, (d) any agreement in effect at the time any Subsidiary becomes a Subsidiary of the Borrower, so long as such agreement was not entered into solely in contemplation of such Person becoming a Subsidiary or, in any such case, that is set forth in any agreement evidencing any amendments, restatements, supplements, modifications, extensions, renewals and replacements of the foregoing, so long as such amendment, restatement, supplement, modification, extension, renewal or replacement applies only to such Subsidiary and does not otherwise expand in any material respect the scope of any restriction or condition contained therein, (e) any restriction pursuant to any document, agreement or instrument governing or relating to any Lien permitted under Sections 7.3(c), (d), (f), (g), (i), (k), (l), (m), (n), (r), (s), (t) and (v), or any agreement or option to Dispose any asset of any Group Member, the Disposition of which is permitted by any other provision of this Agreements (in each case,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any such restriction relates only to the assets or property subject to such Lien or being Disposed), (f) any restriction set forth on Schedule 7.15(f) and (g) restrictions set forth in any document governing Permitted Ratio Debt or Credit Agreement Refinancing Indebtedness, in each case, so long as such restrictions contemplated by this clause (g) do not restrict or otherwise impair the rights of the Administrative Agent, the Lenders or any other Secured Party under this Agreement or any other Loan Document.</w:t>
      </w:r>
    </w:p>
    <w:p>
      <w:pPr>
        <w:pStyle w:val="TextBody"/>
        <w:bidi w:val="0"/>
        <w:spacing w:lineRule="auto" w:line="288" w:before="0" w:after="240"/>
        <w:ind w:left="0" w:right="0" w:firstLine="720"/>
        <w:jc w:val="both"/>
        <w:rPr/>
      </w:pPr>
      <w:r>
        <w:rPr>
          <w:rFonts w:ascii="Times New Roman;sans-serif" w:hAnsi="Times New Roman;sans-serif"/>
          <w:b/>
          <w:color w:val="000000"/>
          <w:sz w:val="22"/>
        </w:rPr>
        <w:t>7.16    Clauses Restricting Subsidiary Distributions</w:t>
      </w:r>
      <w:r>
        <w:rPr>
          <w:rFonts w:ascii="Times New Roman;sans-serif" w:hAnsi="Times New Roman;sans-serif"/>
          <w:b w:val="false"/>
          <w:color w:val="000000"/>
          <w:sz w:val="22"/>
        </w:rPr>
        <w:t>. Enter into or suffer to exist or become effective any consensual encumbrance or restriction on the ability of any Subsidiary of the Borrower to (a) make Restricted Payments in respect of any Capital Stock of such Subsidiary held by, or to pay any Indebtedness owed to, any other Group Member, (b) make loans or advances to, or other Investments in, any other Group Member, or (c) transfer any of its assets to any other Group Member, except for such encumbrances or restrictions existing under or by reason of (i) any restrictions existing under the Loan Documents, (ii) any restrictions with respect to a Subsidiary imposed pursuant to an agreement that has been entered into in connection with a Disposition permitted hereby of all or substantially all of the Capital Stock or assets of such Subsidiary, (iii) customary restrictions on the assignment of leases, licenses and other agreements, (iv) restrictions of the nature referred to in clause (c) above under agreements governing purchase money liens or Capital Lease Obligations otherwise permitted hereby which restrictions are only effective against the assets financed thereby, (v) any agreement in effect at the time any Subsidiary becomes a Subsidiary of the Borrower, so long as such agreement applies only to such Subsidiary, was not entered into solely in contemplation of such Person becoming a Subsidiary or in each case that is set forth in any agreement evidencing any amendments, restatements, supplements, modifications, extensions, renewals and replacements of the foregoing, so long as such amendment, restatement, supplement, modification, extension, renewal or replacement does not expand in any material respect the scope of any restriction or condition contained therein, (vi) any restriction pursuant to any document, agreement or instrument governing or relating to any Lien permitted under Section 7.3(c), (d), (f), (g), (i), (l) (m), (n), (r), (s), (t) and (v)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any such restriction relates only to the assets or property subject to such Lien or being Disposed), or (vii) any restriction set forth on Schedule 7.16(vii).</w:t>
      </w:r>
    </w:p>
    <w:p>
      <w:pPr>
        <w:pStyle w:val="TextBody"/>
        <w:bidi w:val="0"/>
        <w:spacing w:lineRule="auto" w:line="288" w:before="0" w:after="240"/>
        <w:ind w:left="0" w:right="0" w:firstLine="720"/>
        <w:jc w:val="both"/>
        <w:rPr/>
      </w:pPr>
      <w:r>
        <w:rPr>
          <w:rFonts w:ascii="Times New Roman;sans-serif" w:hAnsi="Times New Roman;sans-serif"/>
          <w:b/>
          <w:color w:val="000000"/>
          <w:sz w:val="22"/>
        </w:rPr>
        <w:t>7.17    Lines of Business</w:t>
      </w:r>
      <w:r>
        <w:rPr>
          <w:rFonts w:ascii="Times New Roman;sans-serif" w:hAnsi="Times New Roman;sans-serif"/>
          <w:b w:val="false"/>
          <w:color w:val="000000"/>
          <w:sz w:val="22"/>
        </w:rPr>
        <w:t>. Enter into any business, either directly or through any Subsidiary or pursuant to an acquisition, except as permitted by Section 7.8 (n)(i) and those businesses in which the Borrower and its Subsidiaries are engaged on the date of this Agreement or that are reasonably related, ancillary or incidental thereto.</w:t>
      </w:r>
    </w:p>
    <w:p>
      <w:pPr>
        <w:pStyle w:val="TextBody"/>
        <w:bidi w:val="0"/>
        <w:spacing w:lineRule="auto" w:line="288" w:before="0" w:after="240"/>
        <w:ind w:left="0" w:right="0" w:firstLine="720"/>
        <w:jc w:val="both"/>
        <w:rPr/>
      </w:pPr>
      <w:r>
        <w:rPr>
          <w:rFonts w:ascii="Times New Roman;sans-serif" w:hAnsi="Times New Roman;sans-serif"/>
          <w:b/>
          <w:color w:val="000000"/>
          <w:sz w:val="22"/>
        </w:rPr>
        <w:t>7.18    Amendments to Organizational Agreements and Junior Debt Documents</w:t>
      </w:r>
      <w:r>
        <w:rPr>
          <w:rFonts w:ascii="Times New Roman;sans-serif" w:hAnsi="Times New Roman;sans-serif"/>
          <w:b w:val="false"/>
          <w:color w:val="000000"/>
          <w:sz w:val="22"/>
        </w:rPr>
        <w:t xml:space="preserve">. (a) Amend or permit any amendments to any Loan Party’s organizational documents if such amendment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560705"/>
                <wp:effectExtent l="0" t="0" r="0" b="0"/>
                <wp:wrapNone/>
                <wp:docPr id="236" name="Frame23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would be adverse to Administrative Agent or the Lenders in any material respect or (b) amend or permit any amendments to any Junior Debt Documents if such amendment would be adverse to Administrative Agent or the Lenders in any material respect, in each case without the prior written consent of the Required Lenders.</w:t>
      </w:r>
    </w:p>
    <w:p>
      <w:pPr>
        <w:pStyle w:val="TextBody"/>
        <w:bidi w:val="0"/>
        <w:spacing w:lineRule="auto" w:line="288" w:before="0" w:after="240"/>
        <w:ind w:left="0" w:right="0" w:firstLine="720"/>
        <w:jc w:val="both"/>
        <w:rPr/>
      </w:pPr>
      <w:r>
        <w:rPr>
          <w:rFonts w:ascii="Times New Roman;sans-serif" w:hAnsi="Times New Roman;sans-serif"/>
          <w:b/>
          <w:color w:val="000000"/>
          <w:sz w:val="22"/>
        </w:rPr>
        <w:t>7.19    Use of Proceeds</w:t>
      </w:r>
      <w:r>
        <w:rPr>
          <w:rFonts w:ascii="Times New Roman;sans-serif" w:hAnsi="Times New Roman;sans-serif"/>
          <w:b w:val="false"/>
          <w:color w:val="000000"/>
          <w:sz w:val="22"/>
        </w:rPr>
        <w:t>. Use the proceeds of any Loan or extension of credit hereunder, whether directly or indirectly, and whether immediately, incidentally or ultimately, to purchase or carry margin stock (within the meaning of Regulation U of the Board) or to extend credit to others for the purpose of purchasing or carrying margin stock or to refund indebtedness originally incurred for such purpose, in each case in violation of, or for a purpose which violates, or would be inconsistent with, Regulation T, U or X of the Board.</w:t>
      </w:r>
    </w:p>
    <w:p>
      <w:pPr>
        <w:pStyle w:val="TextBody"/>
        <w:bidi w:val="0"/>
        <w:spacing w:lineRule="auto" w:line="288" w:before="0" w:after="240"/>
        <w:ind w:left="0" w:right="0" w:firstLine="720"/>
        <w:jc w:val="both"/>
        <w:rPr/>
      </w:pPr>
      <w:r>
        <w:rPr>
          <w:rFonts w:ascii="Times New Roman;sans-serif" w:hAnsi="Times New Roman;sans-serif"/>
          <w:b/>
          <w:color w:val="000000"/>
          <w:sz w:val="22"/>
        </w:rPr>
        <w:t>7.20    Anti-Corruption Laws; Anti-Money Laundering Laws; Sanctions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Use, contribute or otherwise make available any part of the proceeds of any Loan or extension of credit hereunder, whether directly or knowingly indirectly: (i) for the purpose of funding or facilitating any dealings or activities with or involving any Sanctioned Person or in or involving any Sanctioned Jurisdiction; (ii) in violation of any applicable Anti-Corruption Laws or Anti-Money Laundering Laws; or (iii) in any other manner that would constitute or give rise to a violation of Sanctions by any party hereto. </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SECTION 8</w:t>
        <w:br/>
        <w:t>EVENTS OF DEFAULT</w:t>
      </w:r>
    </w:p>
    <w:p>
      <w:pPr>
        <w:pStyle w:val="TextBody"/>
        <w:bidi w:val="0"/>
        <w:spacing w:lineRule="auto" w:line="288" w:before="0" w:after="240"/>
        <w:ind w:left="0" w:right="0" w:firstLine="720"/>
        <w:jc w:val="both"/>
        <w:rPr/>
      </w:pPr>
      <w:r>
        <w:rPr>
          <w:rFonts w:ascii="Times New Roman;sans-serif" w:hAnsi="Times New Roman;sans-serif"/>
          <w:b/>
          <w:color w:val="000000"/>
          <w:sz w:val="22"/>
        </w:rPr>
        <w:t>8.1    Events of Default</w:t>
      </w:r>
      <w:r>
        <w:rPr>
          <w:rFonts w:ascii="Times New Roman;sans-serif" w:hAnsi="Times New Roman;sans-serif"/>
          <w:b w:val="false"/>
          <w:color w:val="000000"/>
          <w:sz w:val="22"/>
        </w:rPr>
        <w:t>. The occurrence of any of the following shall constitute an Event of Default: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(i) the Borrower shall fail to pay any amount of principal of any Loan when due in accordance with the terms hereof; or (ii) the Borrower shall fail to pay any amount of interest or premium (including the Prepayment Premium) on any Loan, or any other amount payable hereunder or under any other Loan Document, in the case of clause (ii), within three (3) Business Days after any such interest or other amount becomes due in accordance with the terms hereof; 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any representation or warranty made or deemed made by any Loan Party herein or in any other Loan Document or that is contained in any certificate, document or financial or other statement furnished by it at any time under or pursuant to this Agreement or any such other Loan Document (i) if qualified by materiality, shall be incorrect or misleading when made or deemed made, or (ii) if not qualified by materiality, shall be incorrect or misleading in any material respect when made or deemed made; 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any Loan Party shall default in the observance or performance of any agreement contained in, Section 5.3, Section 6.5(a) (solely with respect to the Borrower), Section 6.8(a), Section 6.13 or Section 7 of this Agreement;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to the extent provided in Section 7.1(d), an Event of Default under Section 7.1(a) or (b) shall not occur until the Equity Cure Expiration Date; or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any Loan Party shall default in the observance or performance of any other agreement contained in this Agreement or any other Loan Document applicable to it (other than as provided in paragraphs (a) through (c) of this Section), and such default shall continue unremedied for a period of 30 days thereafter; or</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560705"/>
                <wp:effectExtent l="0" t="0" r="0" b="0"/>
                <wp:wrapNone/>
                <wp:docPr id="237" name="Frame23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119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(e)    any Group Member shall (A) default in making any payment of any principal of any Indebtedness (including any Guarantee Obligation and the Existing Convertible Notes, but excluding the Loans) beyond the period of grace, if any, provided in the instrument or agreement under which such Indebtedness was created; (B) default in making any payment of any interest, fees, costs or expenses on any such Indebtedness beyond the period of grace, if any, provided in the instrument or agreement under which such Indebtedness was created; (C) default in making any payment or delivery under any such Indebtedness constituting a Swap Agreement beyond the period of grace, if any, provided in such Swap Agreement; or (D)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or, in the case of any such Indebtedness constituting a Swap Agreement, counterparty under, such Indebtedness (or a trustee or agent on behalf of such holder, beneficiary, or counterparty) to cause, with the giving of notice if required, such Indebtedness to become due prior to its stated maturity or (in the case of any such Indebtedness constituting a Guarantee Obligation) to become payable or (in the case of any such Indebtedness constituting a Swap Agreement) to be terminated;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 default, event or condition described in clauses (A), (B), (C), or (D) of this Section 8.1(e) shall not at any time constitute an Event of Default unless, at such time, one or more defaults, events or conditions of the type described in any of clauses (A), (B), (C), or (D) of this Section 8.1(e) shall have occurred with respect to Indebtedness, the outstanding principal amount (and, in the case of Swap Agreements, the Swap Termination Value) of which, individually or in the aggregate for all such Indebtedness, exceeds $15,000,000;</w:t>
      </w:r>
      <w:r>
        <w:rPr>
          <w:color w:val="000000"/>
        </w:rPr>
        <w:t xml:space="preserve"> </w:t>
      </w:r>
      <w:r>
        <w:rPr>
          <w:rFonts w:ascii="Times New Roman;sans-serif" w:hAnsi="Times New Roman;sans-serif"/>
          <w:b w:val="false"/>
          <w:i/>
          <w:color w:val="000000"/>
          <w:sz w:val="22"/>
        </w:rPr>
        <w:t>provided, further</w:t>
      </w:r>
      <w:r>
        <w:rPr>
          <w:color w:val="000000"/>
        </w:rPr>
        <w:t xml:space="preserve"> </w:t>
      </w:r>
      <w:r>
        <w:rPr>
          <w:rFonts w:ascii="Times New Roman;sans-serif" w:hAnsi="Times New Roman;sans-serif"/>
          <w:b w:val="false"/>
          <w:color w:val="000000"/>
          <w:sz w:val="22"/>
        </w:rPr>
        <w:t>that this Section 8.1(e) shall not apply to (i) any redemption, exchange, repurchase, conversion or settlement with respect to the Existing Convertible Notes or any Permitted Convertible Indebtedness, or satisfaction of any condition giving rise to or permitting the foregoing, pursuant to their terms unless such redemption, exchange, repurchase, conversion or settlement results from a default or non-compliance thereunder or an event of the type that constitutes an Event of Default or (ii) early payment requirement or unwinding or termination with respect to the Existing Capped Call Transactions, any Permitted Bond Hedge Transaction or any Permitted Warrant Transaction, or satisfaction of any condition giving rise to or permitting the foregoing, in accordance with the terms thereof, except an early payment, unwinding or termination that results from a default or non-compliance thereunder by the Borrower or any Subsidiary, or another event of the type that would constitute an Event of Default; 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    (i) any Group Member shall commence any case, proceeding or other action (a) under any Debtor Relief Law seeking to have an order for relief entered with respect to it, or seeking to adjudicate it a bankrupt or insolvent, or seeking reorganization, arrangement, adjustment, winding-up, liquidation, dissolution, composition, administration, examinership, rescue process or other relief with respect to it or its debts, or (b) seeking appointment of a receiver, trustee, custodian, conservator, examiner, process adviser, administrator, or other similar official for it or for all or any substantial part of its assets, or any Group Member shall make a general assignment for the benefit of its creditors; or (ii) there shall be commenced against any Group Member any case, proceeding, or other procedure, step or action of a nature referred to in clause (i) above that (x) results in the entry of an order for relief or any such adjudication or appointment or (y) remains undismissed, undischarged or unbonded for a period of 60 days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during such 60 day period, no Loan shall be advanced hereunder); or (iii) 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during such 60 day period, no Loan shall be advanced hereunder); or (iv)  any Group Member shall admit in writing its inability to, pay its debts as they become due; or</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560705"/>
                <wp:effectExtent l="0" t="0" r="0" b="0"/>
                <wp:wrapNone/>
                <wp:docPr id="238" name="Frame23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    there shall occur one or more ERISA Events which individually or in the aggregate results in or could reasonably be expected to result in a Material Adverse Effect; or there exists an amount of unfunded benefit liabilities (as defined in Section 4001(a)(18) of ERISA), individually or in the aggregate for all Pension Plans (excluding for purposes of such computation any Pension Plans with respect to which assets exceed benefit liabilities) which could reasonably be expected to result in a Material Adverse Effect; 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there is entered against any Group Member one or more final, non-appealable judgments or orders for the payment of money involving in the aggregate a liability (not paid or fully covered by insurance as to which the relevant third party insurance company has not denied or contested coverage or by indemnity) of $[***] or more and (A) enforcement proceedings are commenced by any creditor upon such judgment or order, or (B) all such judgments or decrees shall not have been vacated, discharged, stayed or bonded pending appeal within 45 days from the entry thereof; 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the Collateral Agent shall not have or shall cease to have a valid and perfected Lien in any Collateral having a value in excess of $2,000,000 purported to be covered by the Security Documents with the priority required by the relevant Security Document, in each case, for any reason other than (x) a release of Collateral in accordance with the terms of the Loan Documents, (y) the Discharge of Obligations or (z) the failure of the Collateral Agent or any Secured Party to file UCC continuation statements or amendments, maintain possession of possessory Collateral, or otherwise take any action within its control (to the extent not caused by an act or omission by any Loan Party), 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(j)    any court order enjoins, restrains or prevents a Loan Party from conducting all or any material part of its business; 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(k)    the guarantee contained in Section 2 of the Guarantee and Collateral Agreement shall cease, for any reason, to be in full force and effect (subject, in the case of the guaranty by any Foreign Subsidiary that is a Loan Party, to the Legal Reservations) or any Loan Party shall so assert (other than in connection with a transaction permitted by this Agreement or a Discharge of Obligations); 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(l)    a Change of Control shall occur; 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(m)    any Loan Document at any time after its execution and delivery ceases to be in full force and effect; or any Loan Party or any Affiliate of a Loan Party contests in any manner the validity or enforceability of any Loan Document; or any Loan Party denies that it has any or any further liability or obligation under any Loan Document to which it is a party, or purports to revoke, terminate or rescind any such Loan Document, in each case other, than as a result of a release of Collateral to the extent permitted under the Loan Documents, a release of a Guarantor the extent permitted under the Loan Documents, the operation of the terms of the relevant Loan Document or the Discharge of Obligations.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8.2    Remedies Upon Event of Default</w:t>
      </w:r>
      <w:r>
        <w:rPr>
          <w:rFonts w:ascii="Times New Roman;sans-serif" w:hAnsi="Times New Roman;sans-serif"/>
          <w:b w:val="false"/>
          <w:color w:val="000000"/>
          <w:sz w:val="22"/>
        </w:rPr>
        <w:t>. If any Event of Default occurs and is continuing, the Administrative Agent shall, at the request of, or may, with the consent of, the Required Lenders, take any or all of the following actions: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if such event is an Event of Default specified in </w:t>
      </w:r>
      <w:r>
        <w:rPr>
          <w:rFonts w:ascii="Times New Roman;sans-serif" w:hAnsi="Times New Roman;sans-serif"/>
          <w:b w:val="false"/>
          <w:color w:val="000000"/>
          <w:sz w:val="22"/>
          <w:u w:val="single"/>
        </w:rPr>
        <w:t>Section 8.1(f)</w:t>
      </w:r>
      <w:r>
        <w:rPr>
          <w:color w:val="000000"/>
        </w:rPr>
        <w:t xml:space="preserve"> </w:t>
      </w:r>
      <w:r>
        <w:rPr>
          <w:rFonts w:ascii="Times New Roman;sans-serif" w:hAnsi="Times New Roman;sans-serif"/>
          <w:b w:val="false"/>
          <w:color w:val="000000"/>
          <w:sz w:val="22"/>
        </w:rPr>
        <w:t>with respect to the Borrower or any Guarantor, the Commitments shall immediately terminate automatically and the Loans (with accrued interest thereon) and all other amounts owing under this Agreement and the other Loan Documents shall automatically immediately become due and payable, and</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560705"/>
                <wp:effectExtent l="0" t="0" r="0" b="0"/>
                <wp:wrapNone/>
                <wp:docPr id="239" name="Frame23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if such event is any other Event of Default, any of the following actions may be taken: (i) with the consent of the Required Lenders, the Administrative Agent may, or upon the request of the Required Lenders, the Administrative Agent shall, by notice to the Borrower declare the Commitments to be terminated forthwith, whereupon the Commitments shall immediately terminate; and (ii) with the consent of the Required Lenders, the Administrative Agent may, or upon the request of the Required Lenders, the Administrative Agent shall, by notice to the Borrower, declare the Loans (with accrued interest thereon), Prepayment Premium (if any) and all other amounts owing under this Agreement and the other Loan Documents to be due and payable forthwith, whereupon the same shall immediately become due and payable. </w:t>
      </w:r>
    </w:p>
    <w:p>
      <w:pPr>
        <w:pStyle w:val="TextBody"/>
        <w:bidi w:val="0"/>
        <w:spacing w:lineRule="auto" w:line="288" w:before="0" w:after="240"/>
        <w:ind w:left="0" w:right="0" w:firstLine="720"/>
        <w:jc w:val="both"/>
        <w:rPr/>
      </w:pPr>
      <w:r>
        <w:rPr>
          <w:rFonts w:ascii="Times New Roman;sans-serif" w:hAnsi="Times New Roman;sans-serif"/>
          <w:b/>
          <w:color w:val="000000"/>
          <w:sz w:val="22"/>
        </w:rPr>
        <w:t>8.3    Application of Funds</w:t>
      </w:r>
      <w:r>
        <w:rPr>
          <w:rFonts w:ascii="Times New Roman;sans-serif" w:hAnsi="Times New Roman;sans-serif"/>
          <w:b w:val="false"/>
          <w:color w:val="000000"/>
          <w:sz w:val="22"/>
        </w:rPr>
        <w:t>. After the exercise of remedies provided for in Section 8.2, any amounts received by the Administrative Agent on account of the Obligations shall be applied by the Administrative Agent in the following order:</w:t>
      </w:r>
      <w:r>
        <w:rPr>
          <w:color w:val="000000"/>
          <w:u w:val="single"/>
        </w:rPr>
        <w:t xml:space="preserve"> </w:t>
      </w:r>
    </w:p>
    <w:p>
      <w:pPr>
        <w:pStyle w:val="TextBody"/>
        <w:bidi w:val="0"/>
        <w:spacing w:lineRule="auto" w:line="288" w:before="0" w:after="240"/>
        <w:ind w:left="0" w:right="0" w:firstLine="1440"/>
        <w:jc w:val="both"/>
        <w:rPr/>
      </w:pPr>
      <w:r>
        <w:rPr>
          <w:rFonts w:ascii="Times New Roman;sans-serif" w:hAnsi="Times New Roman;sans-serif"/>
          <w:b w:val="false"/>
          <w:i/>
          <w:color w:val="000000"/>
          <w:sz w:val="22"/>
        </w:rPr>
        <w:t>First</w:t>
      </w:r>
      <w:r>
        <w:rPr>
          <w:rFonts w:ascii="Times New Roman;sans-serif" w:hAnsi="Times New Roman;sans-serif"/>
          <w:b w:val="false"/>
          <w:color w:val="000000"/>
          <w:sz w:val="22"/>
        </w:rPr>
        <w:t>, to the payment of that portion of the Obligations constituting fees, indemnities, expenses and other amounts (other than principal and interest but including any Collateral-Related Expenses, fees, charges and disbursements of counsel to the Administrative Agent and amounts payable under Sections 2.19, 2.20 and 2.21 (including interest thereon)) payable to the Administrative Agent, in its capacity as such;</w:t>
      </w:r>
    </w:p>
    <w:p>
      <w:pPr>
        <w:pStyle w:val="TextBody"/>
        <w:bidi w:val="0"/>
        <w:spacing w:lineRule="auto" w:line="288" w:before="0" w:after="240"/>
        <w:ind w:left="0" w:right="0" w:firstLine="1440"/>
        <w:jc w:val="both"/>
        <w:rPr/>
      </w:pPr>
      <w:r>
        <w:rPr>
          <w:rFonts w:ascii="Times New Roman;sans-serif" w:hAnsi="Times New Roman;sans-serif"/>
          <w:b w:val="false"/>
          <w:i/>
          <w:color w:val="000000"/>
          <w:sz w:val="22"/>
        </w:rPr>
        <w:t>Second</w:t>
      </w:r>
      <w:r>
        <w:rPr>
          <w:rFonts w:ascii="Times New Roman;sans-serif" w:hAnsi="Times New Roman;sans-serif"/>
          <w:b w:val="false"/>
          <w:color w:val="000000"/>
          <w:sz w:val="22"/>
        </w:rPr>
        <w:t>, to payment of that portion of the Obligations constituting fees, premiums (including the Prepayment Premium (if any)) indemnities and other amounts (other than principal and interest) payable to the Lenders (and the reasonable documented out-of-pocket fees, charges and disbursements of counsel to the respective Lenders, and amounts payable under Sections 2.19, 2.20 and 2.21), in each case, ratably among them in proportion to the respective amounts described in this clause Second payable to them;</w:t>
      </w:r>
    </w:p>
    <w:p>
      <w:pPr>
        <w:pStyle w:val="TextBody"/>
        <w:bidi w:val="0"/>
        <w:spacing w:lineRule="auto" w:line="288" w:before="0" w:after="240"/>
        <w:ind w:left="0" w:right="0" w:firstLine="1440"/>
        <w:jc w:val="both"/>
        <w:rPr/>
      </w:pPr>
      <w:r>
        <w:rPr>
          <w:rFonts w:ascii="Times New Roman;sans-serif" w:hAnsi="Times New Roman;sans-serif"/>
          <w:b w:val="false"/>
          <w:i/>
          <w:color w:val="000000"/>
          <w:sz w:val="22"/>
        </w:rPr>
        <w:t>Third</w:t>
      </w:r>
      <w:r>
        <w:rPr>
          <w:rFonts w:ascii="Times New Roman;sans-serif" w:hAnsi="Times New Roman;sans-serif"/>
          <w:b w:val="false"/>
          <w:color w:val="000000"/>
          <w:sz w:val="22"/>
        </w:rPr>
        <w:t>, to the payment of that portion of the Obligations constituting accrued and unpaid interest on the Loans ratably among the Lenders;</w:t>
      </w:r>
    </w:p>
    <w:p>
      <w:pPr>
        <w:pStyle w:val="TextBody"/>
        <w:bidi w:val="0"/>
        <w:spacing w:lineRule="auto" w:line="288" w:before="0" w:after="240"/>
        <w:ind w:left="0" w:right="0" w:firstLine="1440"/>
        <w:jc w:val="both"/>
        <w:rPr/>
      </w:pPr>
      <w:r>
        <w:rPr>
          <w:rFonts w:ascii="Times New Roman;sans-serif" w:hAnsi="Times New Roman;sans-serif"/>
          <w:b w:val="false"/>
          <w:i/>
          <w:color w:val="000000"/>
          <w:sz w:val="22"/>
        </w:rPr>
        <w:t>Fourth</w:t>
      </w:r>
      <w:r>
        <w:rPr>
          <w:rFonts w:ascii="Times New Roman;sans-serif" w:hAnsi="Times New Roman;sans-serif"/>
          <w:b w:val="false"/>
          <w:color w:val="000000"/>
          <w:sz w:val="22"/>
        </w:rPr>
        <w:t>, to payment of that portion of the Obligations constituting unpaid principal of the Loans;</w:t>
      </w:r>
    </w:p>
    <w:p>
      <w:pPr>
        <w:pStyle w:val="TextBody"/>
        <w:bidi w:val="0"/>
        <w:spacing w:lineRule="auto" w:line="288" w:before="0" w:after="240"/>
        <w:ind w:left="0" w:right="0" w:firstLine="1440"/>
        <w:jc w:val="both"/>
        <w:rPr/>
      </w:pPr>
      <w:r>
        <w:rPr>
          <w:rFonts w:ascii="Times New Roman;sans-serif" w:hAnsi="Times New Roman;sans-serif"/>
          <w:b w:val="false"/>
          <w:i/>
          <w:color w:val="000000"/>
          <w:sz w:val="22"/>
        </w:rPr>
        <w:t>Fifth</w:t>
      </w:r>
      <w:r>
        <w:rPr>
          <w:rFonts w:ascii="Times New Roman;sans-serif" w:hAnsi="Times New Roman;sans-serif"/>
          <w:b w:val="false"/>
          <w:color w:val="000000"/>
          <w:sz w:val="22"/>
        </w:rPr>
        <w:t>, to the payment of all other Obligations of the Loan Parties that are then due and payable to the Administrative Agent and the other Secured Parties on such date, in each case, ratably among them in proportion to the respective aggregate amounts of all such Obligations described in this clause Fourth payable to them;</w:t>
      </w:r>
    </w:p>
    <w:p>
      <w:pPr>
        <w:pStyle w:val="TextBody"/>
        <w:bidi w:val="0"/>
        <w:spacing w:lineRule="auto" w:line="288" w:before="0" w:after="240"/>
        <w:ind w:left="0" w:right="0" w:firstLine="1440"/>
        <w:jc w:val="both"/>
        <w:rPr/>
      </w:pPr>
      <w:r>
        <w:rPr>
          <w:rFonts w:ascii="Times New Roman;sans-serif" w:hAnsi="Times New Roman;sans-serif"/>
          <w:b w:val="false"/>
          <w:i/>
          <w:color w:val="000000"/>
          <w:sz w:val="22"/>
        </w:rPr>
        <w:t>Last</w:t>
      </w:r>
      <w:r>
        <w:rPr>
          <w:rFonts w:ascii="Times New Roman;sans-serif" w:hAnsi="Times New Roman;sans-serif"/>
          <w:b w:val="false"/>
          <w:color w:val="000000"/>
          <w:sz w:val="22"/>
        </w:rPr>
        <w:t>, the balance, if any, after all of the Obligations have been indefeasibly paid in full (excluding, for this purpose, any Obligations which have been cash collateralized in accordance with the terms hereof), to the Loan Parties or as otherwise required by Requirement of Law.</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SECTION 9</w:t>
        <w:br/>
        <w:t>THE ADMINISTRATIVE AGENT</w:t>
      </w:r>
    </w:p>
    <w:p>
      <w:pPr>
        <w:pStyle w:val="TextBody"/>
        <w:bidi w:val="0"/>
        <w:spacing w:lineRule="auto" w:line="288" w:before="0" w:after="240"/>
        <w:ind w:left="0" w:right="0" w:firstLine="720"/>
        <w:jc w:val="both"/>
        <w:rPr/>
      </w:pPr>
      <w:r>
        <w:rPr>
          <w:rFonts w:ascii="Times New Roman;sans-serif" w:hAnsi="Times New Roman;sans-serif"/>
          <w:b/>
          <w:color w:val="000000"/>
          <w:sz w:val="22"/>
        </w:rPr>
        <w:t>9.1    Appointment and Authority</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Each of the Lenders hereby irrevocably appoints Silver Point to act on its behalf as the Administrative Agent hereunder and under the other Loan Documents and authorizes the Administrative Agent to take such actions on its behalf and to exercise such powers as are delegated to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560705"/>
                <wp:effectExtent l="0" t="0" r="0" b="0"/>
                <wp:wrapNone/>
                <wp:docPr id="240" name="Frame24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by the terms hereof or thereof, together with such actions and powers as are reasonably incidental thereto.</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provisions of Section 9 are solely for the benefit of the Administrative Agent and the Lenders, and neither the Borrower nor any other Loan Party shall have rights as a third party beneficiary of any of such provisions. Notwithstanding any provision to the contrary elsewhere in this Agreement, the Administrative Agent shall not have any duties or obligations, except those expressly set forth herein and in the other Loan Documents,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Administrative Agent shall also act as the collateral agent under the Loan Documents, and each of the Lenders (in their respective capacities as a Lender) hereby irrevocably (i) authorizes the Administrative Agent to enter into all other Loan Documents, as applicable, including the Guarantee and Collateral Agreement and any customary subordination agreements, and (ii) appoints and authorizes the Administrative Agent to act as the agent of the Secured Parties for purposes of acquiring, holding and enforcing any and all Liens on Collateral granted by any of the Loan Parties to secure any of the Obligations, together with such powers and discretion as are reasonably incidental thereto. The Administrative Agent, as collateral agent and any co-agents, sub-agents and attorneys-in-fact appointed by the Administrative Agent pursuant to Section 9.2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Section 9 and Section 10 (including Section 9.7, as though such co-agents, sub-agents and attorneys-in-fact were the collateral agent under the Loan Documents) as if set forth in full herein with respect thereto. Without limiting the generality of the foregoing, the Administrative Agent is further authorized on behalf of all the Lenders, without the necessity of any notice to or further consent from the Lenders, from time to time to take any action, or permit the any co-agents, sub-agents and attorneys-in-fact appointed by the Administrative Agent to take any action, with respect to any Collateral or the Loan Documents which may be necessary to perfect and maintain perfected the Liens upon any Collateral granted pursuant to any Loan Document. </w:t>
      </w:r>
    </w:p>
    <w:p>
      <w:pPr>
        <w:pStyle w:val="TextBody"/>
        <w:bidi w:val="0"/>
        <w:spacing w:lineRule="auto" w:line="288" w:before="0" w:after="240"/>
        <w:ind w:left="0" w:right="0" w:firstLine="720"/>
        <w:jc w:val="both"/>
        <w:rPr/>
      </w:pPr>
      <w:r>
        <w:rPr>
          <w:rFonts w:ascii="Times New Roman;sans-serif" w:hAnsi="Times New Roman;sans-serif"/>
          <w:b/>
          <w:color w:val="000000"/>
          <w:sz w:val="22"/>
        </w:rPr>
        <w:t>9.2    Delegation of Duties</w:t>
      </w:r>
      <w:r>
        <w:rPr>
          <w:rFonts w:ascii="Times New Roman;sans-serif" w:hAnsi="Times New Roman;sans-serif"/>
          <w:b w:val="false"/>
          <w:color w:val="000000"/>
          <w:sz w:val="22"/>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 activities as the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pStyle w:val="TextBody"/>
        <w:bidi w:val="0"/>
        <w:spacing w:lineRule="auto" w:line="288" w:before="0" w:after="240"/>
        <w:ind w:left="0" w:right="0" w:firstLine="720"/>
        <w:jc w:val="both"/>
        <w:rPr/>
      </w:pPr>
      <w:r>
        <w:rPr>
          <w:rFonts w:ascii="Times New Roman;sans-serif" w:hAnsi="Times New Roman;sans-serif"/>
          <w:b/>
          <w:color w:val="000000"/>
          <w:sz w:val="22"/>
        </w:rPr>
        <w:t>9.3    Exculpatory Provisions</w:t>
      </w:r>
      <w:r>
        <w:rPr>
          <w:rFonts w:ascii="Times New Roman;sans-serif" w:hAnsi="Times New Roman;sans-serif"/>
          <w:b w:val="false"/>
          <w:color w:val="000000"/>
          <w:sz w:val="22"/>
        </w:rPr>
        <w:t xml:space="preserve">. The Administrative Agent shall have no duties or obligations except those expressly set forth herein and in the other Loan Documents, and its duties hereunder and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560705"/>
                <wp:effectExtent l="0" t="0" r="0" b="0"/>
                <wp:wrapNone/>
                <wp:docPr id="241" name="Frame24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thereunder shall be administrative in nature. Without limiting the generality of the foregoing, the Administrative Agent shall not: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be subject to any fiduciary or other implied duties, regardless of whether any Default or any Event of Default has occurred and is continuing;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as applicable;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except as expressly set forth herein and in the other Loan Documents, have any duty to disclose, and the Administrative Agent shall not be liable for the failure to disclose, any information relating to the Borrower or any of its Affiliates that is communicated to or obtained by any Person serving as the Administrative Agent or any of its Affiliates in any capacity.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8.2 and 10.1), or (ii) in the absence of its own gross negligence or willful misconduct as determined by a court of competent jurisdiction by final and nonappealable judgment.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Section 5.1, Section 5.2 or elsewhere herein, other than to confirm receipt of items expressly required to be delivered to the Administrative Agent.</w:t>
      </w:r>
    </w:p>
    <w:p>
      <w:pPr>
        <w:pStyle w:val="TextBody"/>
        <w:bidi w:val="0"/>
        <w:spacing w:lineRule="auto" w:line="288" w:before="0" w:after="240"/>
        <w:ind w:left="0" w:right="0" w:firstLine="720"/>
        <w:jc w:val="both"/>
        <w:rPr/>
      </w:pPr>
      <w:r>
        <w:rPr>
          <w:rFonts w:ascii="Times New Roman;sans-serif" w:hAnsi="Times New Roman;sans-serif"/>
          <w:b/>
          <w:color w:val="000000"/>
          <w:sz w:val="22"/>
        </w:rPr>
        <w:t>9.4    Reliance by Administrative Agent</w:t>
      </w:r>
      <w:r>
        <w:rPr>
          <w:rFonts w:ascii="Times New Roman;sans-serif" w:hAnsi="Times New Roman;sans-serif"/>
          <w:b w:val="false"/>
          <w:color w:val="000000"/>
          <w:sz w:val="22"/>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560705"/>
                <wp:effectExtent l="0" t="0" r="0" b="0"/>
                <wp:wrapNone/>
                <wp:docPr id="242" name="Frame24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Agent may consult with legal counsel (who may be counsel for any of the Loan Parties), independent accountants and other experts selected by it, and shall not be liable for any action taken or not taken by it in accordance with the advice of any such counsel, accountants or experts.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such other number or percentage of Lenders as shall be provided for herein or in the other Loan Documents)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such other number or percentage of Lenders as shall be provided for herein or in the other Loan Documents), and such request and any action taken or failure to act pursuant thereto shall be binding upon the Lenders and all future holders of the Loans.</w:t>
      </w:r>
    </w:p>
    <w:p>
      <w:pPr>
        <w:pStyle w:val="TextBody"/>
        <w:bidi w:val="0"/>
        <w:spacing w:lineRule="auto" w:line="288" w:before="0" w:after="240"/>
        <w:ind w:left="0" w:right="0" w:firstLine="720"/>
        <w:jc w:val="both"/>
        <w:rPr/>
      </w:pPr>
      <w:r>
        <w:rPr>
          <w:rFonts w:ascii="Times New Roman;sans-serif" w:hAnsi="Times New Roman;sans-serif"/>
          <w:b/>
          <w:color w:val="000000"/>
          <w:sz w:val="22"/>
        </w:rPr>
        <w:t>9.5    Notice of Default</w:t>
      </w:r>
      <w:r>
        <w:rPr>
          <w:rFonts w:ascii="Times New Roman;sans-serif" w:hAnsi="Times New Roman;sans-serif"/>
          <w:b w:val="false"/>
          <w:color w:val="000000"/>
          <w:sz w:val="22"/>
        </w:rPr>
        <w:t>. The Administrative Agent shall not be deemed to have knowledge or notice of the occurrence of any Default or Event of Default unless the Administrative Agent has received notice in writing from a Lender or the Borrower referring to this Agreement, describing such Default or Event of Default and stating that such notice is a “</w:t>
      </w:r>
      <w:r>
        <w:rPr>
          <w:rFonts w:ascii="Times New Roman;sans-serif" w:hAnsi="Times New Roman;sans-serif"/>
          <w:b w:val="false"/>
          <w:i/>
          <w:color w:val="000000"/>
          <w:sz w:val="22"/>
        </w:rPr>
        <w:t>notice of default</w:t>
      </w:r>
      <w:r>
        <w:rPr>
          <w:rFonts w:ascii="Times New Roman;sans-serif" w:hAnsi="Times New Roman;sans-serif"/>
          <w:b w:val="false"/>
          <w:color w:val="000000"/>
          <w:sz w:val="22"/>
        </w:rPr>
        <w:t xml:space="preserve">.”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such other number or percentage of the Lenders as shall be expressly provided for herein or in the other Loan Documents);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pStyle w:val="TextBody"/>
        <w:bidi w:val="0"/>
        <w:spacing w:lineRule="auto" w:line="288" w:before="0" w:after="240"/>
        <w:ind w:left="0" w:right="0" w:firstLine="720"/>
        <w:jc w:val="both"/>
        <w:rPr/>
      </w:pPr>
      <w:r>
        <w:rPr>
          <w:rFonts w:ascii="Times New Roman;sans-serif" w:hAnsi="Times New Roman;sans-serif"/>
          <w:b/>
          <w:color w:val="000000"/>
          <w:sz w:val="22"/>
        </w:rPr>
        <w:t>9.6    Non-Reliance on Administrative Agent and Other Lenders</w:t>
      </w:r>
      <w:r>
        <w:rPr>
          <w:rFonts w:ascii="Times New Roman;sans-serif" w:hAnsi="Times New Roman;sans-serif"/>
          <w:b w:val="false"/>
          <w:color w:val="000000"/>
          <w:sz w:val="22"/>
        </w:rPr>
        <w:t xml:space="preserve">. Each Lender expressly acknowledges that neither the Administrative Agent nor any of its officers, directors, employees, agents, attorneys in fact or Affiliates has made any representations or warranties to it and that no act by the Administrative Agent hereafter taken, including any review of the affairs of a Group Member or any Affiliate of a Group Member, shall be deemed to constitute any representation or warranty by the Administrative Agent to any Lender. Each Lender represents to the Administrative Agent that it has, independently and without reliance upon the Administrative Agent or any other Lender or any of their Related Parties, and based on such documents and information as it has deemed appropriate, made its own appraisal of, and investigation into, the business, operations, property, financial and other condition and creditworthiness of the Group Members and their Affiliates and made its own credit analysis and decision to make its Loans hereunder and enter into this Agreement. Each Lender also agrees that it will, independently and without reliance upon the Administrative Agent or any other Lender or any of their Related Parties, and based on such documents and information as it shall from time to time deem appropriate, continue to make its own credit analysis, appraisals and decisions in taking or not taking action under or based upon this Agreement, the other Loan Documents or any related agreement or any document furnished hereunder or thereunder, and 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 the Lenders by the Administrative Agent hereunder, the Administrative Agent shall have no duty or responsibility to provide any Lender with any credit or other information concerning the business, operations, property, condition (financial or otherwise), prospects or creditworthiness of any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560705"/>
                <wp:effectExtent l="0" t="0" r="0" b="0"/>
                <wp:wrapNone/>
                <wp:docPr id="243" name="Frame24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Group Member or any Affiliate of a Group Member that may come into the possession of the Administrative Agent or any of its officers, directors, employees, agents, attorneys in fact or affiliates.</w:t>
      </w:r>
    </w:p>
    <w:p>
      <w:pPr>
        <w:pStyle w:val="TextBody"/>
        <w:bidi w:val="0"/>
        <w:spacing w:lineRule="auto" w:line="288" w:before="0" w:after="240"/>
        <w:ind w:left="0" w:right="0" w:firstLine="720"/>
        <w:jc w:val="both"/>
        <w:rPr/>
      </w:pPr>
      <w:r>
        <w:rPr>
          <w:rFonts w:ascii="Times New Roman;sans-serif" w:hAnsi="Times New Roman;sans-serif"/>
          <w:b/>
          <w:color w:val="000000"/>
          <w:sz w:val="22"/>
        </w:rPr>
        <w:t>9.7    Indemnification</w:t>
      </w:r>
      <w:r>
        <w:rPr>
          <w:rFonts w:ascii="Times New Roman;sans-serif" w:hAnsi="Times New Roman;sans-serif"/>
          <w:b w:val="false"/>
          <w:color w:val="000000"/>
          <w:sz w:val="22"/>
        </w:rPr>
        <w:t xml:space="preserve">. Each of the Lenders agrees to indemnify each of the Administrative Agent and each of its Related Parties in its capacity as such (to the extent not reimbursed the Borrower or any other Loan Party and without limiting the obligation of the Borrower, or any other Loan Party to do so) according to its Aggregate Exposure Percentage in effect on the date on which indemnification is sought under this Section 9.7 (or, if indemnification is sought after the date upon which the Commitments shall have terminated and the Loans shall have been paid in full, in accordance with its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the Administrative Agent or such other Person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or such other Person under or in connection with any of the foregoing and any other amounts not reimbursed by the Borrower or such other Loan Party;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the Administrative Agent’s or such other Person’s gross negligence or willful misconduct. The agreements in this Section shall survive the payment of the Loans and all other amounts payable hereunder.</w:t>
      </w:r>
    </w:p>
    <w:p>
      <w:pPr>
        <w:pStyle w:val="TextBody"/>
        <w:bidi w:val="0"/>
        <w:spacing w:lineRule="auto" w:line="288" w:before="0" w:after="240"/>
        <w:ind w:left="0" w:right="0" w:firstLine="720"/>
        <w:jc w:val="both"/>
        <w:rPr/>
      </w:pPr>
      <w:r>
        <w:rPr>
          <w:rFonts w:ascii="Times New Roman;sans-serif" w:hAnsi="Times New Roman;sans-serif"/>
          <w:b/>
          <w:color w:val="000000"/>
          <w:sz w:val="22"/>
        </w:rPr>
        <w:t>9.8    Agent in Its Individual Capacity</w:t>
      </w:r>
      <w:r>
        <w:rPr>
          <w:rFonts w:ascii="Times New Roman;sans-serif" w:hAnsi="Times New Roman;sans-serif"/>
          <w:b w:val="false"/>
          <w:color w:val="000000"/>
          <w:sz w:val="22"/>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pStyle w:val="TextBody"/>
        <w:bidi w:val="0"/>
        <w:spacing w:lineRule="auto" w:line="288" w:before="0" w:after="240"/>
        <w:ind w:left="0" w:right="0" w:firstLine="720"/>
        <w:jc w:val="both"/>
        <w:rPr/>
      </w:pPr>
      <w:r>
        <w:rPr>
          <w:rFonts w:ascii="Times New Roman;sans-serif" w:hAnsi="Times New Roman;sans-serif"/>
          <w:b/>
          <w:color w:val="000000"/>
          <w:sz w:val="22"/>
        </w:rPr>
        <w:t>9.9    Successor Administrative Agent</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The Administrative Agent may at any time give notice of its resignation to the Lenders and the Borrower. Upon receipt of any such notice of resignation, the Required Lenders shall have the right to appoint a successor Administrative Agent with an office in the United States and, so long as no Event of Default has occurred and is continuing, that is reasonably acceptable to the Borrower.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sans-serif" w:hAnsi="Times New Roman;sans-serif"/>
          <w:b/>
          <w:i/>
          <w:color w:val="000000"/>
          <w:sz w:val="22"/>
        </w:rPr>
        <w:t>Resignation Effective Date</w:t>
      </w:r>
      <w:r>
        <w:rPr>
          <w:color w:val="000000"/>
        </w:rPr>
        <w:t>”</w:t>
      </w:r>
      <w:r>
        <w:rPr>
          <w:rFonts w:ascii="Times New Roman;sans-serif" w:hAnsi="Times New Roman;sans-serif"/>
          <w:b w:val="false"/>
          <w:color w:val="000000"/>
          <w:sz w:val="22"/>
        </w:rPr>
        <w:t xml:space="preserve">), then the retiring Administrative Agent may (but shall not be obligated to), on behalf of the Lenders, appoint a successor Administrative Agent meeting the qualifications set forth above;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in no event shall any such successor Administrative Agent be a Defaulting Lender. Whether or not a successor has been appointed, such resignation shall become effective in accordance with such notice on the Resignation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560705"/>
                <wp:effectExtent l="0" t="0" r="0" b="0"/>
                <wp:wrapNone/>
                <wp:docPr id="244" name="Frame24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with an office in the United States. If no such successor shall have been so appointed by the Required Lenders and shall have accepted such appointment within 30 days (or such earlier day as shall be agreed by the Required Lenders) (the “</w:t>
      </w:r>
      <w:r>
        <w:rPr>
          <w:rFonts w:ascii="Times New Roman;sans-serif" w:hAnsi="Times New Roman;sans-serif"/>
          <w:b/>
          <w:i/>
          <w:color w:val="000000"/>
          <w:sz w:val="22"/>
        </w:rPr>
        <w:t>Removal Effective Date</w:t>
      </w:r>
      <w:r>
        <w:rPr>
          <w:color w:val="000000"/>
        </w:rPr>
        <w:t>”</w:t>
      </w:r>
      <w:r>
        <w:rPr>
          <w:rFonts w:ascii="Times New Roman;sans-serif" w:hAnsi="Times New Roman;sans-serif"/>
          <w:b w:val="false"/>
          <w:color w:val="000000"/>
          <w:sz w:val="22"/>
        </w:rPr>
        <w:t>), then such removal shall nonetheless become effective in accordance with such notice on the Removal Effective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or removed Administrative Agent shall continue to hold such collateral security until such time as a successor Administrative Agent is appointed and such collateral security is assigned to such successor Administrative Agent)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w:t>
      </w:r>
      <w:r>
        <w:rPr>
          <w:rFonts w:ascii="Times New Roman;sans-serif" w:hAnsi="Times New Roman;sans-serif"/>
          <w:b w:val="false"/>
          <w:color w:val="000000"/>
          <w:sz w:val="22"/>
          <w:u w:val="single"/>
        </w:rPr>
        <w:t>Section 9</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10.5</w:t>
      </w:r>
      <w:r>
        <w:rPr>
          <w:color w:val="000000"/>
        </w:rPr>
        <w:t xml:space="preserve"> </w:t>
      </w:r>
      <w:r>
        <w:rPr>
          <w:rFonts w:ascii="Times New Roman;sans-serif" w:hAnsi="Times New Roman;sans-serif"/>
          <w:b w:val="false"/>
          <w:color w:val="000000"/>
          <w:sz w:val="22"/>
        </w:rPr>
        <w:t>shall continue in effect for the benefit of such retiring or removed Administrative Agent, its sub-agents and their respective Related Parties in respect of any actions taken or omitted to be taken by any of them while the retiring or removed Administrative Agent was acting as the Administrative Agent.</w:t>
      </w:r>
    </w:p>
    <w:p>
      <w:pPr>
        <w:pStyle w:val="TextBody"/>
        <w:bidi w:val="0"/>
        <w:spacing w:lineRule="auto" w:line="288" w:before="0" w:after="240"/>
        <w:ind w:left="0" w:right="0" w:firstLine="720"/>
        <w:jc w:val="both"/>
        <w:rPr/>
      </w:pPr>
      <w:r>
        <w:rPr>
          <w:rFonts w:ascii="Times New Roman;sans-serif" w:hAnsi="Times New Roman;sans-serif"/>
          <w:b/>
          <w:color w:val="000000"/>
          <w:sz w:val="22"/>
        </w:rPr>
        <w:t>9.10    Collateral and Guaranty Matters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Lenders, the Administrative Agent and each other Security Party irrevocably:</w:t>
      </w:r>
    </w:p>
    <w:p>
      <w:pPr>
        <w:pStyle w:val="TextBody"/>
        <w:bidi w:val="0"/>
        <w:spacing w:lineRule="auto" w:line="288" w:before="0" w:after="240"/>
        <w:ind w:left="0" w:right="0" w:firstLine="1530"/>
        <w:jc w:val="both"/>
        <w:rPr>
          <w:rFonts w:ascii="Times New Roman;sans-serif" w:hAnsi="Times New Roman;sans-serif"/>
          <w:b w:val="false"/>
          <w:color w:val="000000"/>
          <w:sz w:val="22"/>
        </w:rPr>
      </w:pPr>
      <w:r>
        <w:rPr>
          <w:rFonts w:ascii="Times New Roman;sans-serif" w:hAnsi="Times New Roman;sans-serif"/>
          <w:b w:val="false"/>
          <w:color w:val="000000"/>
          <w:sz w:val="22"/>
        </w:rPr>
        <w:t>(i)     agree that the Liens granted to the Administrative Agent by the Loan Parties on any Collateral shall be immediately and automatically released, in each case, without any further action by any Person:</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(A)upon the Discharge of Obligations,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(B)upon the sale, disposition, distribution or other transfer of such Collateral, as part of or in connection with any transaction permitted hereunder or under any other Loan Document, in each case to a Person that is not a Loan Party,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(C)subject to Section 10.1, if approved, authorized or ratified in writing by the Required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560705"/>
                <wp:effectExtent l="0" t="0" r="0" b="0"/>
                <wp:wrapNone/>
                <wp:docPr id="245" name="Frame24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(D)that constitutes an Excluded Asset (or is otherwise not required to be a part of the Collateral pursuant to the terms of the Loan Documents) as a result of an occurrence not prohibited under this Agreement, or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(E)to the extent such Collateral is owned by a Guarantor, upon release of such Guarantor from its obligations under its guaranty pursuant to clause (c) below;</w:t>
      </w:r>
    </w:p>
    <w:p>
      <w:pPr>
        <w:pStyle w:val="TextBody"/>
        <w:bidi w:val="0"/>
        <w:spacing w:lineRule="auto" w:line="288" w:before="0" w:after="240"/>
        <w:ind w:left="0" w:right="0" w:firstLine="1530"/>
        <w:jc w:val="both"/>
        <w:rPr>
          <w:rFonts w:ascii="Times New Roman;sans-serif" w:hAnsi="Times New Roman;sans-serif"/>
          <w:b w:val="false"/>
          <w:color w:val="000000"/>
          <w:sz w:val="22"/>
        </w:rPr>
      </w:pPr>
      <w:r>
        <w:rPr>
          <w:rFonts w:ascii="Times New Roman;sans-serif" w:hAnsi="Times New Roman;sans-serif"/>
          <w:b w:val="false"/>
          <w:color w:val="000000"/>
          <w:sz w:val="22"/>
        </w:rPr>
        <w:t>(ii)    authorize the Administrative Agent to (and the Administrative Agent shall be required to if requested by the Borrower) (A) subordinate any Lien on any Collateral or other property (including to enter into any intercreditor agreement, subordination agreement or similar agreement) granted to or held by the Administrative Agent under any Loan Document to the holder of any Lien on such property that is permitted by Sections 7.3(f), (g), (i), (m) and (n) of this Agreement and (B) to enter into any Intercreditor Agreement with the collateral agent or other representative of the holders of Indebtedness that is, contractually, secured on a junior lien basis by a Lien on Collateral, which Indebtedness is permitted by this Agreement to be secured on a junior lien basis; and</w:t>
      </w:r>
    </w:p>
    <w:p>
      <w:pPr>
        <w:pStyle w:val="TextBody"/>
        <w:bidi w:val="0"/>
        <w:spacing w:lineRule="auto" w:line="288" w:before="0" w:after="240"/>
        <w:ind w:left="0" w:right="0" w:firstLine="1530"/>
        <w:jc w:val="both"/>
        <w:rPr/>
      </w:pPr>
      <w:r>
        <w:rPr>
          <w:rFonts w:ascii="Times New Roman;sans-serif" w:hAnsi="Times New Roman;sans-serif"/>
          <w:b w:val="false"/>
          <w:color w:val="000000"/>
          <w:sz w:val="22"/>
        </w:rPr>
        <w:t xml:space="preserve">(iii)    agree that a Guarantor shall be immediately and automatically released from any and all obligations under the Guarantee and Collateral Agreement and the other Loan Documents if such Person ceases to be a Subsidiary or becomes an Excluded Subsidiary, in each case, as a result of a transaction permitted under the Loan Documents;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 no Guarantor which becomes an Excluded Subsidiary shall be released pursuant to this Section 9.10(a)(iii) if there is no bona fide business purpose for the transaction which would result in such release and (ii) no Loan Party will dispose of a minority interest in any Guarantor for the primary purpose of releasing the Guaranty made by such Guarantor under the Loan Documents.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sans-serif" w:hAnsi="Times New Roman;sans-serif"/>
          <w:b w:val="false"/>
          <w:color w:val="000000"/>
          <w:sz w:val="22"/>
          <w:u w:val="single"/>
        </w:rPr>
        <w:t>Section 9.10</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absent such confirmation in writing from the Required Lenders, the act of the Administrative Agent making such request shall not prohibit the Administrative Agent from releasing or subordinating its interests (and it shall be required to do so) if it otherwise conclusively relies on a certificate of the Borrower.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In each case as specified in this Section 9.10(a), the Administrative Agent will promptly (and each Lender and other Secured Party irrevocably authorizes the Administrative Agent to), at the Borrower’s expense to the extent provided in Section 10.5, execute and deliver to the applicable Loan Party such documents as such Loan Party may reasonably request to evidence the release or subordination of such item of Collateral from the assignment and security interest granted under the Security Documents, or to evidence the release of such Guarantor from its obligations under the Guarantee and Collateral Agreement and the other Loan Documents, in each case in accordance with the terms of the Loan Documents and this Section 9.10(a). Additionally, upon reasonable request of the Borrower, the Administrative Agent will promptly return possessory Collateral held by it that is released from the security interests created by the Security Documents pursuant to this Section 9.10(a);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each case of this Section 9.10(a), upon the Administrative Agent’s reasonable written request, the Borrower shall have delivered to the Administrative Agent a certificate of a Responsible Officer of the Borrower certifying that any such transaction has been consummated in compliance with this Agreement and the other Loan Documents and that such release is permitted hereby, and each of the Secured Parties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560705"/>
                <wp:effectExtent l="0" t="0" r="0" b="0"/>
                <wp:wrapNone/>
                <wp:docPr id="246" name="Frame24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hereby authorizes the Administrative Agent to rely on such certificate in performing its obligations under this Section 9.10(a));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event that the Administrative Agent loses or misplaces any possessory collateral delivered to the Administrative Agent by the Borrower, upon reasonable request of the Borrower, the Administrative Agent shall provide a loss affidavit to the Borrower, including an indemnity with respect thereto, in a form reasonably satisfactory to the Borrower.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(c)    Notwithstanding anything contained in any Loan Document, no Secured Party shall have any right individually to realize upon any of the Collateral or to enforce any guaranty of the Obligations (including any such guaranty provided by the Guarantors pursuant to the Guarantee and Collateral Agreement), it being understood and agreed that all powers, rights and remedies under the Loan Documents may be exercised solely by the Administrative Agent on behalf of the Secured Parties in accordance with the terms thereof;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for the avoidance of doubt, in no event shall a Secured Party be restricted hereunder from filing a proof of claim on its own behalf during the pendency of a proceeding relative to any Loan Party under any Debtor Relief Law or any other judicial proceeding. In the event of a foreclosure by the Administrative Agent on any of the Collateral pursuant to a public or private sale or other disposition, the Administrative Agent or any Secured Party may be the purchaser or licensor of any or all of such Collateral at any such sale or other disposition, and the Administrative Agent, as agent for and representative of such Secured Party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Obligations provided by the Loan Parties under the Guarantee and Collateral Agreement, to have agreed to the foregoing provisions. </w:t>
      </w:r>
    </w:p>
    <w:p>
      <w:pPr>
        <w:pStyle w:val="TextBody"/>
        <w:bidi w:val="0"/>
        <w:spacing w:lineRule="auto" w:line="288" w:before="0" w:after="240"/>
        <w:ind w:left="0" w:right="0" w:firstLine="720"/>
        <w:jc w:val="both"/>
        <w:rPr/>
      </w:pPr>
      <w:r>
        <w:rPr>
          <w:rFonts w:ascii="Times New Roman;sans-serif" w:hAnsi="Times New Roman;sans-serif"/>
          <w:b/>
          <w:color w:val="000000"/>
          <w:sz w:val="22"/>
        </w:rPr>
        <w:t>9.11    Administrative Agent May File Proofs of Claim</w:t>
      </w:r>
      <w:r>
        <w:rPr>
          <w:rFonts w:ascii="Times New Roman;sans-serif" w:hAnsi="Times New Roman;sans-serif"/>
          <w:b w:val="false"/>
          <w:color w:val="000000"/>
          <w:sz w:val="22"/>
        </w:rPr>
        <w:t>. 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to file and prove a claim for the whole amount of the principal and interest owing and unpaid in respect of the Loans and all other Obligations that are owing and unpaid and to file such other documents as may be necessary or advisable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Sections 2.9 and 10.5) allowed in such judicial proceeding; and</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560705"/>
                <wp:effectExtent l="0" t="0" r="0" b="0"/>
                <wp:wrapNone/>
                <wp:docPr id="247" name="Frame24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129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to collect and receive any monies or other property payable or deliverable on any such claims and to distribute the same;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2.9 and 10.5.</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 </w:t>
      </w:r>
    </w:p>
    <w:p>
      <w:pPr>
        <w:pStyle w:val="TextBody"/>
        <w:bidi w:val="0"/>
        <w:spacing w:lineRule="auto" w:line="288" w:before="0" w:after="240"/>
        <w:ind w:left="0" w:right="0" w:firstLine="720"/>
        <w:jc w:val="both"/>
        <w:rPr/>
      </w:pPr>
      <w:r>
        <w:rPr>
          <w:rFonts w:ascii="Times New Roman;sans-serif" w:hAnsi="Times New Roman;sans-serif"/>
          <w:b/>
          <w:color w:val="000000"/>
          <w:sz w:val="22"/>
        </w:rPr>
        <w:t>9.12    No Other Duties, etc.</w:t>
      </w:r>
      <w:r>
        <w:rPr>
          <w:color w:val="000000"/>
        </w:rPr>
        <w:t xml:space="preserve"> </w:t>
      </w:r>
      <w:r>
        <w:rPr>
          <w:rFonts w:ascii="Times New Roman;sans-serif" w:hAnsi="Times New Roman;sans-serif"/>
          <w:b w:val="false"/>
          <w:color w:val="000000"/>
          <w:sz w:val="22"/>
        </w:rPr>
        <w:t>Anything herein to the contrary notwithstanding, the “Lead Arranger” listed on the cover page hereof shall not have any powers, duties or responsibilities under this Agreement or any of the other Loan Documents, except in its capacity, as applicable, as the Administrative Agent or a Lender hereunder.</w:t>
      </w:r>
    </w:p>
    <w:p>
      <w:pPr>
        <w:pStyle w:val="TextBody"/>
        <w:bidi w:val="0"/>
        <w:spacing w:lineRule="auto" w:line="288" w:before="0" w:after="240"/>
        <w:ind w:left="0" w:right="0" w:firstLine="720"/>
        <w:jc w:val="both"/>
        <w:rPr/>
      </w:pPr>
      <w:r>
        <w:rPr>
          <w:rFonts w:ascii="Times New Roman;sans-serif" w:hAnsi="Times New Roman;sans-serif"/>
          <w:b/>
          <w:color w:val="000000"/>
          <w:sz w:val="22"/>
        </w:rPr>
        <w:t>9.13    [Reserved]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9.14    Survival</w:t>
      </w:r>
      <w:r>
        <w:rPr>
          <w:rFonts w:ascii="Times New Roman;sans-serif" w:hAnsi="Times New Roman;sans-serif"/>
          <w:b w:val="false"/>
          <w:color w:val="000000"/>
          <w:sz w:val="22"/>
        </w:rPr>
        <w:t>. This Section 9 shall survive the Discharge of Obligations.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9.15    Certain ERISA Matters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Each Lender (1) represents and warrants, as of the date such Person became a Lender party hereto, to, and (2)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    (A) such Lender is an investment fund managed by a “Qualified Professional Asset Manager” (within the meaning of Part VI of PTE 84-14), (B) such Qualified Professional Asset Manager made the investment decision on behalf of such Lender to enter into, </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560705"/>
                <wp:effectExtent l="0" t="0" r="0" b="0"/>
                <wp:wrapNone/>
                <wp:docPr id="248" name="Frame24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(iv)    such other representation, warranty and covenant as may be agreed in writing between the Administrative Agent, in its sole discretion, and such Lender.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unless either (1) sub-clause (i) in the immediately preceding clause (a) is true with respect to a Lender or (2) a Lender has provided another representation, warranty and covenant in accordance with sub-clause (iv) in the immediately preceding clause (a), such Lender further (1) represents and warrants, as of the date such Person became a Lender party hereto, to, and (2)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 </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SECTION 10</w:t>
        <w:br/>
        <w:t>MISCELLANEOUS</w:t>
      </w:r>
    </w:p>
    <w:p>
      <w:pPr>
        <w:pStyle w:val="TextBody"/>
        <w:bidi w:val="0"/>
        <w:spacing w:lineRule="auto" w:line="288" w:before="0" w:after="240"/>
        <w:ind w:left="0" w:right="0" w:firstLine="720"/>
        <w:jc w:val="both"/>
        <w:rPr/>
      </w:pPr>
      <w:r>
        <w:rPr>
          <w:rFonts w:ascii="Times New Roman;sans-serif" w:hAnsi="Times New Roman;sans-serif"/>
          <w:b/>
          <w:color w:val="000000"/>
          <w:sz w:val="22"/>
        </w:rPr>
        <w:t>10.1    Amendments and Waivers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Neither this Agreement, any other Loan Document, nor any terms hereof or thereof may be amended, supplemented or modified except in accordance with the provisions of this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The Required Lenders and each Loan Party to the relevant Loan Document may, or, with the written consent of the Required Lenders, the Administrative Agent and each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no such waiver and no such amendment, supplement or modification shall (A) forgive the principal amount or extend the final scheduled date of maturity of any Loan, extend the scheduled date of any amortization payment in respect of any Loan, reduce the stated rate of any interest or fee payable hereunder (except that any amendment or modification of defined terms used in the financial covenant in this Agreement or waiver of any Default or Event of Default or the right to receive interest at the Default Rate shall not constitute a reduction in the rate of interest or fees for purposes of this clause (A)) or extend the scheduled date of any payment thereof, or increase the amount or extend the expiration date of any Lender’s Commitment, in each case, without the written consent of each Lender directly affected thereby; (B) eliminate or reduce the voting rights of any Lender under this Section 10.1 without the written consent of such Lender; (C)(y) reduce any percentage specified in the definition of Required Lenders, consent to the assignment or transfer by the Borrower of any of its rights and obligations under this Agreement and the other Loan Documents, release all or substantially all of the Collateral or release all or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560705"/>
                <wp:effectExtent l="0" t="0" r="0" b="0"/>
                <wp:wrapNone/>
                <wp:docPr id="249" name="Frame24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substantially all of the value of the guarantees (taken as a whole) provided by the Guarantors under the Guarantee and Collateral Agreement, in each case without the written consent of all Lenders or (z) [reserved]; (D)  amend, modify or waive the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 xml:space="preserve">requirements or order of application of payments in Section 2.12(g), Section 2.18, Section 8.3 or any other provision of the Loan Documents requiring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application of proceeds to the Lenders or setting forth the order of application of amounts to the Obligations held by the Lenders without the written consent of each Lender, in each case, directly adversely affected thereby; (E) amend, modify or waive any provision of Section 9 without the written consent of the Administrative Agent; (F) [reserved]; (G) [reserved]; (H) without limitation of Section 9.10(a), subordinate the right of payment of the Loans to any other Indebtedness for borrowed money, or subordinate the Lien on all or substantially all of the Collateral granted in favor of the Administrative Agent to Liens securing any other Indebtedness for borrowed money, without the written consent of all of the Lenders directly adversely affected thereby (except pursuant to a transaction in which participation in such other Indebtedness is offered to the Lenders on a pro rata basis or in connection with a “debtor in possession” financing, on the same terms (including fees) as are offered to all other providers of such financing).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during the period such waiver is effective; but no such waiver shall extend to any subsequent or other Default or Event of Default, or impair any right consequent thereon.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Notwithstanding anything to the contrary contained in this Section 10.1(a), no amendment, waiver or consent to this Agreement or any other Loan Document shall waive any condition precedent set forth in </w:t>
      </w:r>
      <w:r>
        <w:rPr>
          <w:rFonts w:ascii="Times New Roman;sans-serif" w:hAnsi="Times New Roman;sans-serif"/>
          <w:b w:val="false"/>
          <w:color w:val="000000"/>
          <w:sz w:val="22"/>
          <w:u w:val="single"/>
        </w:rPr>
        <w:t>Section 5.2</w:t>
      </w:r>
      <w:r>
        <w:rPr>
          <w:color w:val="000000"/>
        </w:rPr>
        <w:t> </w:t>
      </w:r>
      <w:r>
        <w:rPr>
          <w:rFonts w:ascii="Times New Roman;sans-serif" w:hAnsi="Times New Roman;sans-serif"/>
          <w:b w:val="false"/>
          <w:color w:val="000000"/>
          <w:sz w:val="22"/>
        </w:rPr>
        <w:t>with respect to extensions of credit under the Delayed Draw Commitments without the written consent of the Required Lenders (other than any Defaulting Lender);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amendments, modifications, waivers and consents described in this paragraph shall not require the consent of any Lenders other than the Required Lenders.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Notwithstanding anything to the contrary contained in Section 10.1(a) above, in the event that the Borrower requests that this Agreement or any of the other Loan Documents be amended or otherwise modified in a manner which would require the consent of all of the Lenders and such amendment or other modification is agreed to by the Borrower, the Required Lenders and the Administrative Agent, then, with the consent of the Borrower, the Administrative Agent and the Required Lenders, this Agreement or such other Loan Document may be amended without the consent of the Lender or Lenders who are unwilling to agree to such amendment or other modification (each, a “</w:t>
      </w:r>
      <w:r>
        <w:rPr>
          <w:rFonts w:ascii="Times New Roman;sans-serif" w:hAnsi="Times New Roman;sans-serif"/>
          <w:b/>
          <w:i/>
          <w:color w:val="000000"/>
          <w:sz w:val="22"/>
        </w:rPr>
        <w:t>Minority Lender</w:t>
      </w:r>
      <w:r>
        <w:rPr>
          <w:color w:val="000000"/>
        </w:rPr>
        <w:t>”</w:t>
      </w:r>
      <w:r>
        <w:rPr>
          <w:rFonts w:ascii="Times New Roman;sans-serif" w:hAnsi="Times New Roman;sans-serif"/>
          <w:b w:val="false"/>
          <w:color w:val="000000"/>
          <w:sz w:val="22"/>
        </w:rPr>
        <w:t>), to provide for:</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the termination of the Commitment of each such Minority Lender;</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    the assumption of the Loans and Commitment of each such Minority Lender by one or more Replacement Lenders pursuant to the provisions of Section 2.23; and</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560705"/>
                <wp:effectExtent l="0" t="0" r="0" b="0"/>
                <wp:wrapNone/>
                <wp:docPr id="250" name="Frame25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(iii)    the payment of all interest, fees and other obligations payable or accrued in favor of each Minority Lender and such other modifications to this Agreement or to such Loan Documents as the Borrower, the Administrative Agent and the Required Lenders may determine to be appropriate in connection therewith.</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[Reserved].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[Reserved].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[Reserved].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Notwithstanding any other provision, no consent of any Lender (or other Secured Party other than the Administrative Agent) shall be required to effectuate any amendment to implement any Incremental Facility permitted by Section 2.27, to effect an Extension Amendment permitted by Section 10.1(i), to effect a Refinancing Amendment permitted by Section 2.28 or to effect an alternate interest rate in a manner consistent with Section 2.17.</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(g)    Notwithstanding anything to the contrary contained herein, the Administrative Agent may, with the consent of the Borrower only, amend, modify or supplement this Agreement or any of the Loan Documents to (i) cure any obvious omission, mistake or defect or (ii) make amendments to any outstanding tranche of Loans to permit any Incremental Facility and Incremental Loans to be “fungible” (including for purposes of the Code) with such tranche of Loans, including by amending the schedule of amortization payments relating to any existing tranche of Loans;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any such amendments or modifications to such Facility tranche of Loans shall not decrease any amortization payment to any Lender that would have otherwise been payable to such Lender immediately prior to the effectiveness of the applicable Incremental Amendment.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The Fee Letter may be amended by the parties thereto with the consent of any other Person from which consent is required under Section 10.</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    Notwithstanding anything to the contrary in this Agreement, pursuant to one or more offers (each, an “</w:t>
      </w:r>
      <w:r>
        <w:rPr>
          <w:rFonts w:ascii="Times New Roman;sans-serif" w:hAnsi="Times New Roman;sans-serif"/>
          <w:b/>
          <w:i/>
          <w:color w:val="000000"/>
          <w:sz w:val="22"/>
        </w:rPr>
        <w:t>Extension Offer</w:t>
      </w:r>
      <w:r>
        <w:rPr>
          <w:color w:val="000000"/>
        </w:rPr>
        <w:t>”</w:t>
      </w:r>
      <w:r>
        <w:rPr>
          <w:rFonts w:ascii="Times New Roman;sans-serif" w:hAnsi="Times New Roman;sans-serif"/>
          <w:b w:val="false"/>
          <w:color w:val="000000"/>
          <w:sz w:val="22"/>
        </w:rPr>
        <w:t xml:space="preserve">) made from time to time by the Borrower to all Lenders holding Loans with a like maturity date on a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basis (based on the aggregate outstanding principal amount of such respective Loans at such time) and on the same terms to each such Lender, the Borrower may consummate from time to time transactions with individual Lenders that accept the terms contained in such Extension Offers to extend the maturity date of each such Lender’s Loans, and, subject to the terms hereof, otherwise modify the terms of such Loans pursuant to the terms of the relevant Extension Offer (including by increasing the interest rate and/or fees payable in respect of such Loans and/or modifying the amortization schedule in respect of such Lender’s Loans) (each, an “</w:t>
      </w:r>
      <w:r>
        <w:rPr>
          <w:rFonts w:ascii="Times New Roman;sans-serif" w:hAnsi="Times New Roman;sans-serif"/>
          <w:b/>
          <w:i/>
          <w:color w:val="000000"/>
          <w:sz w:val="22"/>
        </w:rPr>
        <w:t>Extension</w:t>
      </w:r>
      <w:r>
        <w:rPr>
          <w:rFonts w:ascii="Times New Roman;sans-serif" w:hAnsi="Times New Roman;sans-serif"/>
          <w:b w:val="false"/>
          <w:color w:val="000000"/>
          <w:sz w:val="22"/>
        </w:rPr>
        <w:t>;” and each group of Commitments, as so extended, as well as the original Loans (not so extended), being a separate “</w:t>
      </w:r>
      <w:r>
        <w:rPr>
          <w:rFonts w:ascii="Times New Roman;sans-serif" w:hAnsi="Times New Roman;sans-serif"/>
          <w:b/>
          <w:i/>
          <w:color w:val="000000"/>
          <w:sz w:val="22"/>
        </w:rPr>
        <w:t>tranche</w:t>
      </w:r>
      <w:r>
        <w:rPr>
          <w:color w:val="000000"/>
        </w:rPr>
        <w:t>”</w:t>
      </w:r>
      <w:r>
        <w:rPr>
          <w:rFonts w:ascii="Times New Roman;sans-serif" w:hAnsi="Times New Roman;sans-serif"/>
          <w:b w:val="false"/>
          <w:color w:val="000000"/>
          <w:sz w:val="22"/>
        </w:rPr>
        <w:t>), so long as the following terms are satisfied: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(1)    no Default or Event of Default will have occurred and be continuing at the time the Extension Offer is delivered to the Lenders or at the time of such Extension;</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(2)    [reserved];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    except as to interest rates, fees, amortization, final maturity date, and participation in prepayments (which will, subject to the immediately succeeding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560705"/>
                <wp:effectExtent l="0" t="0" r="0" b="0"/>
                <wp:wrapNone/>
                <wp:docPr id="251" name="Frame25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clauses (4) and (5), be determined by the Borrower and set forth in the relevant Extension Amendment), the Loans of any Lender that agrees to an Extension with respect to such Loans owed to it (an “</w:t>
      </w:r>
      <w:r>
        <w:rPr>
          <w:rFonts w:ascii="Times New Roman;sans-serif" w:hAnsi="Times New Roman;sans-serif"/>
          <w:b/>
          <w:i/>
          <w:color w:val="000000"/>
          <w:sz w:val="22"/>
        </w:rPr>
        <w:t>Extended Lender</w:t>
      </w:r>
      <w:r>
        <w:rPr>
          <w:color w:val="000000"/>
        </w:rPr>
        <w:t>”</w:t>
      </w:r>
      <w:r>
        <w:rPr>
          <w:rFonts w:ascii="Times New Roman;sans-serif" w:hAnsi="Times New Roman;sans-serif"/>
          <w:b w:val="false"/>
          <w:color w:val="000000"/>
          <w:sz w:val="22"/>
        </w:rPr>
        <w:t>) extended pursuant to any Extension (“</w:t>
      </w:r>
      <w:r>
        <w:rPr>
          <w:rFonts w:ascii="Times New Roman;sans-serif" w:hAnsi="Times New Roman;sans-serif"/>
          <w:b/>
          <w:i/>
          <w:color w:val="000000"/>
          <w:sz w:val="22"/>
        </w:rPr>
        <w:t>Extended Loans</w:t>
      </w:r>
      <w:r>
        <w:rPr>
          <w:color w:val="000000"/>
        </w:rPr>
        <w:t>”</w:t>
      </w:r>
      <w:r>
        <w:rPr>
          <w:rFonts w:ascii="Times New Roman;sans-serif" w:hAnsi="Times New Roman;sans-serif"/>
          <w:b w:val="false"/>
          <w:color w:val="000000"/>
          <w:sz w:val="22"/>
        </w:rPr>
        <w:t>) will have the same terms as the tranche of Loans subject to such Extension Offer (except for covenants or other provisions contained therein or other provisions contained therein, in each case applicable only to periods after the maturity date of the non-extending Loans);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(4)    the weighted average life to maturity of any Extended Loans will be no shorter than the weighted average life to maturity of the Loans extended thereby;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(5)    any Extended Loans may participate on a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 xml:space="preserve">basis or a less than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 xml:space="preserve">basis (but not greater than a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basis except for prepayments with the proceeds of Credit Agreement Refinancing Indebtedness and in respect of an earlier maturing tranche) with non-extending tranches of Loans in any voluntary or mandatory prepayments hereunder, in each case as specified in the respective Extension Amendment;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(6)    there will be no more than three (3) Extended Loan tranches at any time during the term of this Agreement;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    if the aggregate principal amount of Loans in respect of which a Lender or Lenders will have accepted the relevant Extension Offer will exceed the maximum aggregate principal amount of Loans offered to be extended by the Borrower pursuant to such Extension Offer, then the Loans of such Lender or Lenders will be extended ratably up to such maximum amount based on the respective principal or commitment amounts with respect to which such Lender or Lenders have accepted such Extension Offer. With respect to all Extensions consummated by the Borrower pursuant to this Section 10.1(i), (i) such Extensions will not constitute voluntary or mandatory payments or prepayments for purposes of Sections 2.11 or 2.12 and (ii) no Extension Offer is required to be in any minimum amount or any minimum increment. The Administrative Agent and the Lenders hereby consent to the transactions contemplated by this Section 10.1(i) (including, for the avoidance of doubt, payment of any interest, fees or premium in respect of any Extended Loans on such terms as may be set forth in the relevant Extension Amendment) and hereby waive the requirements of any provision of this Agreement or any other Loan Document that may otherwise prohibit or conflict with any such Extension or any other transaction contemplated by this Section 10.1(i).</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(iii)    With respect to any Extension Amendment, no consent by any Lender will be required other than the consent of the Administrative Agent and each Lender agreeing to such Extension with respect to one or more of its Loans (or a portion thereof). All Extended Loans and all obligations in respect thereof will be Obligations under this Agreement and the other Loan Documents and secured by the same Liens on the Collateral that secure all other applicable Obligations. The Lenders hereby irrevocably authorize the Administrative Agent to enter into amendments to this Agreement and the other Loan Documents with the Borrower and the Loan Parties as may be necessary in order to establish new tranches or sub-tranches in respect of Loans so extended, on terms consistent with this Section 10.1(i) (any such amendment, an “</w:t>
      </w:r>
      <w:r>
        <w:rPr>
          <w:rFonts w:ascii="Times New Roman;sans-serif" w:hAnsi="Times New Roman;sans-serif"/>
          <w:b/>
          <w:i/>
          <w:color w:val="000000"/>
          <w:sz w:val="22"/>
        </w:rPr>
        <w:t>Extension Amendment</w:t>
      </w:r>
      <w:r>
        <w:rPr>
          <w:color w:val="000000"/>
        </w:rPr>
        <w:t>”</w:t>
      </w:r>
      <w:r>
        <w:rPr>
          <w:rFonts w:ascii="Times New Roman;sans-serif" w:hAnsi="Times New Roman;sans-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560705"/>
                <wp:effectExtent l="0" t="0" r="0" b="0"/>
                <wp:wrapNone/>
                <wp:docPr id="252" name="Frame25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(iv)    In connection with any Extension, the Borrower will provide the Administrative Agent at least five (5) Business Days (or such shorter period as may be agreed by the Administrative Agent) prior written notice thereof. This Section 10.1(i) will supersede any provisions of this Section 10.1 or Section 2.18 or 10.7 to the contrary.</w:t>
      </w:r>
    </w:p>
    <w:p>
      <w:pPr>
        <w:pStyle w:val="TextBody"/>
        <w:bidi w:val="0"/>
        <w:spacing w:lineRule="auto" w:line="288" w:before="0" w:after="240"/>
        <w:ind w:left="0" w:right="0" w:firstLine="720"/>
        <w:jc w:val="both"/>
        <w:rPr/>
      </w:pPr>
      <w:r>
        <w:rPr>
          <w:rFonts w:ascii="Times New Roman;sans-serif" w:hAnsi="Times New Roman;sans-serif"/>
          <w:b/>
          <w:color w:val="000000"/>
          <w:sz w:val="22"/>
        </w:rPr>
        <w:t>10.2    Notices</w:t>
      </w:r>
      <w:r>
        <w:rPr>
          <w:rFonts w:ascii="Times New Roman;sans-serif" w:hAnsi="Times New Roman;sans-serif"/>
          <w:b w:val="false"/>
          <w:color w:val="000000"/>
          <w:sz w:val="22"/>
        </w:rPr>
        <w:t>. All notices, requests and demands to or upon the respective parties hereto to be effective shall be in writing (including by electronic mail), and, unless otherwise expressly provided herein, shall be deemed to have been duly given or made when delivered, or three Business Days after being deposited in the mail, postage prepaid, or, in the case of electronic mail notice, when received,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w:t>
      </w:r>
    </w:p>
    <w:tbl>
      <w:tblPr>
        <w:tblW w:w="6960" w:type="dxa"/>
        <w:jc w:val="left"/>
        <w:tblInd w:w="0" w:type="dxa"/>
        <w:tblLayout w:type="fixed"/>
        <w:tblCellMar>
          <w:top w:w="28" w:type="dxa"/>
          <w:left w:w="28" w:type="dxa"/>
          <w:bottom w:w="28" w:type="dxa"/>
          <w:right w:w="28" w:type="dxa"/>
        </w:tblCellMar>
      </w:tblPr>
      <w:tblGrid>
        <w:gridCol w:w="792"/>
        <w:gridCol w:w="696"/>
        <w:gridCol w:w="702"/>
        <w:gridCol w:w="1394"/>
        <w:gridCol w:w="1394"/>
        <w:gridCol w:w="1982"/>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Borrower:</w:t>
            </w:r>
          </w:p>
        </w:tc>
        <w:tc>
          <w:tcPr>
            <w:tcW w:w="47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Health Catalyst, Inc.</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10897 South River Front Parkway #300</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South Jordan, UT 84095</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Attention: Jason Alger </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E-Mail:</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 and </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24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(which shall not constitute notice) to:</w:t>
            </w:r>
          </w:p>
          <w:p>
            <w:pPr>
              <w:pStyle w:val="TableContents"/>
              <w:bidi w:val="0"/>
              <w:spacing w:lineRule="auto" w:line="288" w:before="0" w:after="0"/>
              <w:jc w:val="left"/>
              <w:rPr/>
            </w:pPr>
            <w:r>
              <w:rPr>
                <w:rFonts w:ascii="Times New Roman;sans-serif" w:hAnsi="Times New Roman;sans-serif"/>
                <w:b w:val="false"/>
                <w:color w:val="000000"/>
                <w:sz w:val="22"/>
              </w:rPr>
              <w:t>Latham &amp; Watkins LLP</w:t>
              <w:br/>
              <w:t>555 11</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Street NW, Suite 1000</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Washington, DC 20004</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Attention: Haim Zaltzman and Jennifer Kent</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E-Mail: [***]and [***]</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Agent:</w:t>
            </w:r>
          </w:p>
        </w:tc>
        <w:tc>
          <w:tcPr>
            <w:tcW w:w="477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Silver Point Finance, LLC</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 Greenwich Plaza</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Greenwich, CT 06830</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Attn: John Schumacher, Matt Curulla</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E-Mail:</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ableContents"/>
              <w:bidi w:val="0"/>
              <w:spacing w:before="0" w:after="0"/>
              <w:jc w:val="left"/>
              <w:rPr/>
            </w:pPr>
            <w:r>
              <w:rPr/>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with a copy to </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Milbank LLP</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55 Hudson Yards </w:t>
              <w:br/>
              <w:t>New York, NY 10001-2164</w:t>
              <w:br/>
              <w:t>Attention: John Britton</w:t>
              <w:br/>
              <w:t>E-Mail: [***]</w:t>
            </w:r>
          </w:p>
        </w:tc>
      </w:tr>
    </w:tbl>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any notice, request or demand to or upon the Administrative Agent or the Lenders shall not be effective until received.</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560705"/>
                <wp:effectExtent l="0" t="0" r="0" b="0"/>
                <wp:wrapNone/>
                <wp:docPr id="253" name="Frame25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Notices and other communications to the Lenders hereunder may be delivered or furnished by electronic communications (including email and Internet or intranet websites) pursuant to procedures approved by the Administrative Agent;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foregoing shall not apply to notices to any Lender pursuant to Section 2 unless otherwise agreed by the Administrative Agent and the applicable Lender. The Administrative Agent or any Loan Party may, in its discretion, agree to accept notices and other communications to it hereunder by electronic communications pursuant to procedures approved by it;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 xml:space="preserve">that approval of such procedures may be limited to particular notices or communications.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for both clauses (i) and (ii), if such notice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Any party hereto may change its address for notices and other communications hereunder by notice to the other parties hereto.</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(i)    Each Loan Party agrees that the Administrative Agent may, but shall not be obligated to, make the Communications (as defined below) available to the other Lenders by posting the Communications on the Platform.</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(ii)    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sans-serif" w:hAnsi="Times New Roman;sans-serif"/>
          <w:b/>
          <w:i/>
          <w:color w:val="000000"/>
          <w:sz w:val="22"/>
        </w:rPr>
        <w:t>Agent Parties</w:t>
      </w:r>
      <w:r>
        <w:rPr>
          <w:color w:val="000000"/>
        </w:rPr>
        <w:t>”</w:t>
      </w:r>
      <w:r>
        <w:rPr>
          <w:rFonts w:ascii="Times New Roman;sans-serif" w:hAnsi="Times New Roman;sans-serif"/>
          <w:b w:val="false"/>
          <w:color w:val="000000"/>
          <w:sz w:val="22"/>
        </w:rPr>
        <w:t>) have any liability to the Borrower or the other Loan Parties, any Lender or any other Person or entity for damages of any kind, including direct or indirect, special, incidental or consequential damages, losses or expenses (whether in tort, contract or otherwise) arising out of the Borrower’s, any Loan Party’s or the Administrative Agent’s transmission of communications through the Platform. “</w:t>
      </w:r>
      <w:r>
        <w:rPr>
          <w:rFonts w:ascii="Times New Roman;sans-serif" w:hAnsi="Times New Roman;sans-serif"/>
          <w:b/>
          <w:i/>
          <w:color w:val="000000"/>
          <w:sz w:val="22"/>
        </w:rPr>
        <w:t>Communications</w:t>
      </w:r>
      <w:r>
        <w:rPr>
          <w:color w:val="000000"/>
        </w:rPr>
        <w:t xml:space="preserve">” </w:t>
      </w:r>
      <w:r>
        <w:rPr>
          <w:rFonts w:ascii="Times New Roman;sans-serif" w:hAnsi="Times New Roman;sans-serif"/>
          <w:b w:val="false"/>
          <w:color w:val="000000"/>
          <w:sz w:val="22"/>
        </w:rPr>
        <w:t>means, collectively, any notice, demand, communication, information, document or other material provided by or on behalf of any Loan Party pursuant to any Loan Document or the transactions contemplated therein which is distributed to the Administrative Agent or any Lender by means of electronic communications pursuant to this Section, including through the Platform.</w:t>
      </w:r>
    </w:p>
    <w:p>
      <w:pPr>
        <w:pStyle w:val="TextBody"/>
        <w:bidi w:val="0"/>
        <w:spacing w:lineRule="auto" w:line="288" w:before="0" w:after="240"/>
        <w:ind w:left="0" w:right="0" w:firstLine="720"/>
        <w:jc w:val="both"/>
        <w:rPr/>
      </w:pPr>
      <w:r>
        <w:rPr>
          <w:rFonts w:ascii="Times New Roman;sans-serif" w:hAnsi="Times New Roman;sans-serif"/>
          <w:b/>
          <w:color w:val="000000"/>
          <w:sz w:val="22"/>
        </w:rPr>
        <w:t>10.3    No Waiver; Cumulative Remedies</w:t>
      </w:r>
      <w:r>
        <w:rPr>
          <w:rFonts w:ascii="Times New Roman;sans-serif" w:hAnsi="Times New Roman;sans-serif"/>
          <w:b w:val="false"/>
          <w:color w:val="000000"/>
          <w:sz w:val="22"/>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560705"/>
                <wp:effectExtent l="0" t="0" r="0" b="0"/>
                <wp:wrapNone/>
                <wp:docPr id="254" name="Frame25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10.4    Survival of Representations and Warranties</w:t>
      </w:r>
      <w:r>
        <w:rPr>
          <w:rFonts w:ascii="Times New Roman;sans-serif" w:hAnsi="Times New Roman;sans-serif"/>
          <w:b w:val="false"/>
          <w:color w:val="000000"/>
          <w:sz w:val="22"/>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pStyle w:val="TextBody"/>
        <w:bidi w:val="0"/>
        <w:spacing w:lineRule="auto" w:line="288" w:before="0" w:after="240"/>
        <w:ind w:left="0" w:right="0" w:firstLine="720"/>
        <w:jc w:val="both"/>
        <w:rPr/>
      </w:pPr>
      <w:r>
        <w:rPr>
          <w:rFonts w:ascii="Times New Roman;sans-serif" w:hAnsi="Times New Roman;sans-serif"/>
          <w:b/>
          <w:color w:val="000000"/>
          <w:sz w:val="22"/>
        </w:rPr>
        <w:t>10.5    Expenses; Indemnity; Damage Waiver</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Costs and Expenses</w:t>
      </w:r>
      <w:r>
        <w:rPr>
          <w:rFonts w:ascii="Times New Roman;sans-serif" w:hAnsi="Times New Roman;sans-serif"/>
          <w:b w:val="false"/>
          <w:color w:val="000000"/>
          <w:sz w:val="22"/>
        </w:rPr>
        <w:t>. The Borrower shall pay (i) all reasonable and documented out-of-pocket expenses incurred by the Administrative Agent, Silver Point and its Affiliates (including the reasonable and documented fees, charges and disbursements of one primary outside counsel for the Administrative Agent and the Lenders, one regulatory counsel and one local counsel in each applicable jurisdiction),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reasonable and documented out-of-pocket expenses incurred by the Administrative Agent or any Lender (including all reasonable and documented fees, charges and disbursements of one primary outside counsel for the Administrative Agent and the Lenders, one regulatory counsel and one local counsel in each applicable jurisdiction) (and solely in the case of a conflict of interest notified to the Borrower, one additional counsel in each relevant jurisdiction to the affected parties similarly situated, taken as a whole), in connection with the enforcement or protection of its rights (A) in connection with this Agreement and the other Loan Documents, including its rights under this Section, or (B) in connection with the Loans made hereunder, including all such reasonable and documented out-of-pocket expenses incurred during any workout, restructuring or negotiations in respect of such Loans.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Indemnification by the Borrower</w:t>
      </w:r>
      <w:r>
        <w:rPr>
          <w:rFonts w:ascii="Times New Roman;sans-serif" w:hAnsi="Times New Roman;sans-serif"/>
          <w:b w:val="false"/>
          <w:color w:val="000000"/>
          <w:sz w:val="22"/>
        </w:rPr>
        <w:t>. The Borrower shall indemnify the Administrative Agent (and any sub-agent thereof), each Lender, and each Related Party of any of the foregoing Persons (each such Person being called an “</w:t>
      </w:r>
      <w:r>
        <w:rPr>
          <w:rFonts w:ascii="Times New Roman;sans-serif" w:hAnsi="Times New Roman;sans-serif"/>
          <w:b/>
          <w:i/>
          <w:color w:val="000000"/>
          <w:sz w:val="22"/>
        </w:rPr>
        <w:t>Indemnitee</w:t>
      </w:r>
      <w:r>
        <w:rPr>
          <w:color w:val="000000"/>
        </w:rPr>
        <w:t>”</w:t>
      </w:r>
      <w:r>
        <w:rPr>
          <w:rFonts w:ascii="Times New Roman;sans-serif" w:hAnsi="Times New Roman;sans-serif"/>
          <w:b w:val="false"/>
          <w:color w:val="000000"/>
          <w:sz w:val="22"/>
        </w:rPr>
        <w:t xml:space="preserve">) against, and hold each Indemnitee harmless from, any and all losses, claims, damages, liabilities and related expenses (including the reasonable and documented fees, charges and disbursements of any outside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Materials of Environmental Concern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any Related Party, (y) arise solely from disputes between or among Indemnitees to the extent that any such dispute did not arise due to an act or omission by the Borrower or any of its Subsidiaries (other than the Administrative Agent acting in its capacity as such) or (z) result from a claim brought by the Borrower or any other Loan Party against an Indemnitee for breach in bad faith of such Indemnitee's obligations hereunder or under any other Loan Document, if the </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560705"/>
                <wp:effectExtent l="0" t="0" r="0" b="0"/>
                <wp:wrapNone/>
                <wp:docPr id="255" name="Frame25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Borrower or such Loan Party has obtained a final and nonappealable judgment in its favor on such claim as determined by a court of competent jurisdiction. Section 10.5 shall not apply with respect to Taxes other than any Taxes that represent losses, claims, damages, etc. arising from any non-Tax claim.</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Reimbursement by Lenders</w:t>
      </w:r>
      <w:r>
        <w:rPr>
          <w:rFonts w:ascii="Times New Roman;sans-serif" w:hAnsi="Times New Roman;sans-serif"/>
          <w:b w:val="false"/>
          <w:color w:val="000000"/>
          <w:sz w:val="22"/>
        </w:rPr>
        <w:t xml:space="preserve">. To the extent that the Borrower for any reason fails indefeasibly to pay any amount required under paragraph (a) or (b) of this Section to be paid by it to the Administrative Agent (or any sub-agent thereof) or any Related Party of any of the foregoing, each Lender severally agrees to pay to the Administrative Agent (or any such sub-agent) or such Related Party, as the case may be, such Lender’s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 xml:space="preserve">share (determined as of the time that the applicable unreimbursed expense or indemnity payment is sought based on each Lender’s share of the Total Credit Exposure at such time) of such unpaid amount (including any such unpaid amount in respect of a claim asserted by such Lender);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 The obligations of the Lenders under this paragraph (c) are subject to the provisions of Sections 2.1, 2.4 and 2.20(e).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Waiver of Consequential Damages, Etc.</w:t>
      </w:r>
      <w:r>
        <w:rPr>
          <w:color w:val="000000"/>
        </w:rPr>
        <w:t xml:space="preserve"> </w:t>
      </w:r>
      <w:r>
        <w:rPr>
          <w:rFonts w:ascii="Times New Roman;sans-serif" w:hAnsi="Times New Roman;sans-serif"/>
          <w:b w:val="false"/>
          <w:color w:val="000000"/>
          <w:sz w:val="22"/>
        </w:rPr>
        <w:t>To the fullest extent permitted by applicable law, the Borrower shall not assert, and the Borrower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Absent the gross negligence or willful misconduct of an Indemnitee, as determined by a court of competent jurisdiction by a final and non-appealable judgment,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All amounts due under this Section shall be payable promptly after demand therefor.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Each party’s obligations under this Section shall survive the Discharge of Obligations.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10.6    Successors and Assigns; Participations and Assignments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Successors and Assigns Generally</w:t>
      </w:r>
      <w:r>
        <w:rPr>
          <w:rFonts w:ascii="Times New Roman;sans-serif" w:hAnsi="Times New Roman;sans-serif"/>
          <w:b w:val="false"/>
          <w:color w:val="000000"/>
          <w:sz w:val="22"/>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10.6, (ii) by way of participation in accordance with the provisions of Section 10.6(d), or (iii) by way of pledge or assignment of a security interest subject to the restrictions of Section 10.6(e). Nothing in this Agreement, expressed or implied, shall be construed to confer upon any Person (other than the parties hereto, their respective successors and assigns permitted hereby, Participants to the extent provided in paragraph (d) of this Section 10.6 and, to the extent expressly contemplated hereby, the Related Parties of </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560705"/>
                <wp:effectExtent l="0" t="0" r="0" b="0"/>
                <wp:wrapNone/>
                <wp:docPr id="256" name="Frame25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Administrative Agent and the Lenders) any legal or equitable right, remedy or claim under or by reason of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Assignments by Lenders</w:t>
      </w:r>
      <w:r>
        <w:rPr>
          <w:rFonts w:ascii="Times New Roman;sans-serif" w:hAnsi="Times New Roman;sans-serif"/>
          <w:b w:val="false"/>
          <w:color w:val="000000"/>
          <w:sz w:val="22"/>
        </w:rPr>
        <w:t xml:space="preserve">. Any Lender may at any time assign to one or more assignees all or a portion of its rights and obligations under this Agreement (including all or a portion of its Commitment and the Loans at the time owing to it);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any such assignment shall be subject to the following conditions:</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Minimum Amounts</w:t>
      </w:r>
      <w:r>
        <w:rPr>
          <w:rFonts w:ascii="Times New Roman;sans-serif" w:hAnsi="Times New Roman;sans-serif"/>
          <w:b w:val="false"/>
          <w:color w:val="000000"/>
          <w:sz w:val="22"/>
        </w:rPr>
        <w:t>.</w:t>
      </w:r>
    </w:p>
    <w:p>
      <w:pPr>
        <w:pStyle w:val="TextBody"/>
        <w:bidi w:val="0"/>
        <w:spacing w:lineRule="auto" w:line="288" w:before="0" w:after="240"/>
        <w:ind w:left="0" w:right="0" w:firstLine="2880"/>
        <w:jc w:val="both"/>
        <w:rPr>
          <w:rFonts w:ascii="Times New Roman;sans-serif" w:hAnsi="Times New Roman;sans-serif"/>
          <w:b w:val="false"/>
          <w:color w:val="000000"/>
          <w:sz w:val="22"/>
        </w:rPr>
      </w:pPr>
      <w:r>
        <w:rPr>
          <w:rFonts w:ascii="Times New Roman;sans-serif" w:hAnsi="Times New Roman;sans-serif"/>
          <w:b w:val="false"/>
          <w:color w:val="000000"/>
          <w:sz w:val="22"/>
        </w:rPr>
        <w:t>(A)    in the case of an assignment of the entire remaining amount of the assigning Lender’s Commitment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pStyle w:val="TextBody"/>
        <w:bidi w:val="0"/>
        <w:spacing w:lineRule="auto" w:line="288" w:before="0" w:after="240"/>
        <w:ind w:left="0" w:right="0" w:firstLine="2880"/>
        <w:jc w:val="both"/>
        <w:rPr/>
      </w:pPr>
      <w:r>
        <w:rPr>
          <w:rFonts w:ascii="Times New Roman;sans-serif" w:hAnsi="Times New Roman;sans-serif"/>
          <w:b w:val="false"/>
          <w:color w:val="000000"/>
          <w:sz w:val="22"/>
        </w:rPr>
        <w:t>(B)    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a “</w:t>
      </w:r>
      <w:r>
        <w:rPr>
          <w:rFonts w:ascii="Times New Roman;sans-serif" w:hAnsi="Times New Roman;sans-serif"/>
          <w:b/>
          <w:i/>
          <w:color w:val="000000"/>
          <w:sz w:val="22"/>
        </w:rPr>
        <w:t>Trade Date</w:t>
      </w:r>
      <w:r>
        <w:rPr>
          <w:color w:val="000000"/>
        </w:rPr>
        <w:t xml:space="preserve">” </w:t>
      </w:r>
      <w:r>
        <w:rPr>
          <w:rFonts w:ascii="Times New Roman;sans-serif" w:hAnsi="Times New Roman;sans-serif"/>
          <w:b w:val="false"/>
          <w:color w:val="000000"/>
          <w:sz w:val="22"/>
        </w:rPr>
        <w:t>is specified in the Assignment and Assumption, as of the Trade Date) shall not be less than $1,000,000, in the case of any assignment in respect of the Facility, unless each of the Administrative Agent and, so long as no Default or Event of Default has occurred and is continuing, the Borrower otherwise consents (each such consent not to be unreasonably withheld or delayed).</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(ii)    </w:t>
      </w:r>
      <w:r>
        <w:rPr>
          <w:rFonts w:ascii="Times New Roman;sans-serif" w:hAnsi="Times New Roman;sans-serif"/>
          <w:b w:val="false"/>
          <w:color w:val="000000"/>
          <w:sz w:val="22"/>
          <w:u w:val="single"/>
        </w:rPr>
        <w:t>Proportionate Amounts</w:t>
      </w:r>
      <w:r>
        <w:rPr>
          <w:rFonts w:ascii="Times New Roman;sans-serif" w:hAnsi="Times New Roman;sans-serif"/>
          <w:b w:val="false"/>
          <w:color w:val="000000"/>
          <w:sz w:val="22"/>
        </w:rPr>
        <w:t xml:space="preserve">.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Facilities on a non-pro rata basis. </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(iii)    </w:t>
      </w:r>
      <w:r>
        <w:rPr>
          <w:rFonts w:ascii="Times New Roman;sans-serif" w:hAnsi="Times New Roman;sans-serif"/>
          <w:b w:val="false"/>
          <w:color w:val="000000"/>
          <w:sz w:val="22"/>
          <w:u w:val="single"/>
        </w:rPr>
        <w:t>Required Consents</w:t>
      </w:r>
      <w:r>
        <w:rPr>
          <w:rFonts w:ascii="Times New Roman;sans-serif" w:hAnsi="Times New Roman;sans-serif"/>
          <w:b w:val="false"/>
          <w:color w:val="000000"/>
          <w:sz w:val="22"/>
        </w:rPr>
        <w:t>. No consent shall be required for any assignment except to the extent required by paragraph (b)(i)(B) of this Section and, except that:</w:t>
      </w:r>
    </w:p>
    <w:p>
      <w:pPr>
        <w:pStyle w:val="TextBody"/>
        <w:bidi w:val="0"/>
        <w:spacing w:lineRule="auto" w:line="288" w:before="0" w:after="240"/>
        <w:ind w:left="0" w:right="0" w:firstLine="2880"/>
        <w:jc w:val="both"/>
        <w:rPr/>
      </w:pPr>
      <w:r>
        <w:rPr>
          <w:rFonts w:ascii="Times New Roman;sans-serif" w:hAnsi="Times New Roman;sans-serif"/>
          <w:b w:val="false"/>
          <w:color w:val="000000"/>
          <w:sz w:val="22"/>
        </w:rPr>
        <w:t>(A)    the consent of the Borrower (such consent not to be unreasonably withheld or delayed) shall be required unless (x) a Default or an Event of Default</w:t>
      </w:r>
      <w:r>
        <w:rPr>
          <w:color w:val="000000"/>
        </w:rPr>
        <w:t xml:space="preserve"> </w:t>
      </w:r>
      <w:r>
        <w:rPr>
          <w:rFonts w:ascii="Times New Roman;sans-serif" w:hAnsi="Times New Roman;sans-serif"/>
          <w:b w:val="false"/>
          <w:color w:val="000000"/>
          <w:sz w:val="22"/>
        </w:rPr>
        <w:t xml:space="preserve">has occurred and is continuing at the time of such assignment, or (y) such assignment is to a Lender, an Affiliate of a Lender or an Approved Fund;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Borrower shall be deemed to have consented to any such assignment (other than any assignment to a Person described in Section 10.6(b)(v) or Section 10.6(b)(vi)) unless it shall object thereto by written notice to the Administrative Agent within seven (7) Business Days after having received notice thereof;</w:t>
      </w:r>
    </w:p>
    <w:p>
      <w:pPr>
        <w:pStyle w:val="TextBody"/>
        <w:bidi w:val="0"/>
        <w:spacing w:lineRule="auto" w:line="288" w:before="0" w:after="240"/>
        <w:ind w:left="0" w:right="0" w:firstLine="28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consent of the Administrative Agent (such consent not to be unreasonably withheld or delayed) shall be required for assignments in respect of (i) any unfunded Commitments with respect to the Facility if such assignment is to a Person that is not a Lender with a Commitment in respect of such Facility, an Affiliate of such Lender or an Approved Fund with respect to such Lender, or (ii) any Loans to a Person who is not a Lender, an Affiliate of a Lender or an Approved Fund; and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560705"/>
                <wp:effectExtent l="0" t="0" r="0" b="0"/>
                <wp:wrapNone/>
                <wp:docPr id="257" name="Frame25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139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(iv)    </w:t>
      </w:r>
      <w:r>
        <w:rPr>
          <w:rFonts w:ascii="Times New Roman;sans-serif" w:hAnsi="Times New Roman;sans-serif"/>
          <w:b w:val="false"/>
          <w:color w:val="000000"/>
          <w:sz w:val="22"/>
          <w:u w:val="single"/>
        </w:rPr>
        <w:t>Assignment and Assumption</w:t>
      </w:r>
      <w:r>
        <w:rPr>
          <w:rFonts w:ascii="Times New Roman;sans-serif" w:hAnsi="Times New Roman;sans-serif"/>
          <w:b w:val="false"/>
          <w:color w:val="000000"/>
          <w:sz w:val="22"/>
        </w:rPr>
        <w:t xml:space="preserve">. The parties to each assignment shall execute and deliver to the Administrative Agent an Assignment and Assumption, together with a processing and recordation fee of $3,500;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Administrative Agent may, in its sole discretion, elect to waive such processing and recordation fee in the case of any assignment. The assignee, if it is not a Lender, shall deliver to the Administrative Agent any such administrative questionnaire as the Administrative Agent may request.</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(v)    </w:t>
      </w:r>
      <w:r>
        <w:rPr>
          <w:rFonts w:ascii="Times New Roman;sans-serif" w:hAnsi="Times New Roman;sans-serif"/>
          <w:b w:val="false"/>
          <w:color w:val="000000"/>
          <w:sz w:val="22"/>
          <w:u w:val="single"/>
        </w:rPr>
        <w:t>No Assignment to Certain Persons</w:t>
      </w:r>
      <w:r>
        <w:rPr>
          <w:rFonts w:ascii="Times New Roman;sans-serif" w:hAnsi="Times New Roman;sans-serif"/>
          <w:b w:val="false"/>
          <w:color w:val="000000"/>
          <w:sz w:val="22"/>
        </w:rPr>
        <w:t>. No such assignment shall be made to (A) except as set forth in Section 10.6(h) the Borrower or any of the Borrower’s Affiliates or Subsidiaries, (B) to any Defaulting Lender or any of its Affiliates, or any Person who, upon becoming a Lender hereunder, would constitute any of the foregoing Persons described in this clause (B), or (C) an Excluded Lender except solely with the regard to this clause 10.6(b)(v)(C) if the Borrower shall agree in writing in its sole discretion.</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(vi)    </w:t>
      </w:r>
      <w:r>
        <w:rPr>
          <w:rFonts w:ascii="Times New Roman;sans-serif" w:hAnsi="Times New Roman;sans-serif"/>
          <w:b w:val="false"/>
          <w:color w:val="000000"/>
          <w:sz w:val="22"/>
          <w:u w:val="single"/>
        </w:rPr>
        <w:t>No Assignment to Natural Persons</w:t>
      </w:r>
      <w:r>
        <w:rPr>
          <w:rFonts w:ascii="Times New Roman;sans-serif" w:hAnsi="Times New Roman;sans-serif"/>
          <w:b w:val="false"/>
          <w:color w:val="000000"/>
          <w:sz w:val="22"/>
        </w:rPr>
        <w:t>. No such assignment shall be made to a natural Person (or a holding company, investment vehicle or trust established for, or owned and operated for the primary benefit of, a natural Person).</w:t>
      </w:r>
    </w:p>
    <w:p>
      <w:pPr>
        <w:pStyle w:val="TextBody"/>
        <w:bidi w:val="0"/>
        <w:spacing w:lineRule="auto" w:line="288" w:before="0" w:after="240"/>
        <w:ind w:left="0" w:right="0" w:firstLine="2160"/>
        <w:jc w:val="both"/>
        <w:rPr/>
      </w:pPr>
      <w:r>
        <w:rPr>
          <w:rFonts w:ascii="Times New Roman;sans-serif" w:hAnsi="Times New Roman;sans-serif"/>
          <w:b w:val="false"/>
          <w:color w:val="000000"/>
          <w:sz w:val="22"/>
        </w:rPr>
        <w:t>(vii)    </w:t>
      </w:r>
      <w:r>
        <w:rPr>
          <w:rFonts w:ascii="Times New Roman;sans-serif" w:hAnsi="Times New Roman;sans-serif"/>
          <w:b w:val="false"/>
          <w:color w:val="000000"/>
          <w:sz w:val="22"/>
          <w:u w:val="single"/>
        </w:rPr>
        <w:t>Certain Additional Payments</w:t>
      </w:r>
      <w:r>
        <w:rPr>
          <w:rFonts w:ascii="Times New Roman;sans-serif" w:hAnsi="Times New Roman;sans-serif"/>
          <w:b w:val="false"/>
          <w:color w:val="000000"/>
          <w:sz w:val="22"/>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and each other Lender hereunder (and interest accrued thereon), and (y) acquire (and fund as appropriate) its full pro rata share of all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lineRule="auto" w:line="288" w:before="0" w:after="240"/>
        <w:jc w:val="both"/>
        <w:rPr/>
      </w:pPr>
      <w:r>
        <w:rPr>
          <w:rFonts w:ascii="Times New Roman;sans-serif" w:hAnsi="Times New Roman;sans-serif"/>
          <w:b w:val="false"/>
          <w:color w:val="000000"/>
          <w:sz w:val="22"/>
        </w:rPr>
        <w:t>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2.19, 2.20, 2.21 and 10.5</w:t>
      </w:r>
      <w:r>
        <w:rPr>
          <w:color w:val="000000"/>
        </w:rPr>
        <w:t xml:space="preserve"> </w:t>
      </w:r>
      <w:r>
        <w:rPr>
          <w:rFonts w:ascii="Times New Roman;sans-serif" w:hAnsi="Times New Roman;sans-serif"/>
          <w:b w:val="false"/>
          <w:color w:val="000000"/>
          <w:sz w:val="22"/>
        </w:rPr>
        <w:t xml:space="preserve">with respect to facts and circumstances occurring prior to the effective date of such assignment;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560705"/>
                <wp:effectExtent l="0" t="0" r="0" b="0"/>
                <wp:wrapNone/>
                <wp:docPr id="258" name="Frame25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Register</w:t>
      </w:r>
      <w:r>
        <w:rPr>
          <w:rFonts w:ascii="Times New Roman;sans-serif" w:hAnsi="Times New Roman;sans-serif"/>
          <w:b w:val="false"/>
          <w:color w:val="000000"/>
          <w:sz w:val="22"/>
        </w:rPr>
        <w:t>. The Administrative Agent, acting solely for this purpose as an agent of the Borrower, shall maintain at one of its offices in the United States a copy of each Assignment and Assumption delivered to it and a register for the recordation of the names and addresses of the Lenders, and the Commitments of, and principal amounts of (and stated interest on) the Loans owing to, each Lender pursuant to the terms hereof from time to time (the “</w:t>
      </w:r>
      <w:r>
        <w:rPr>
          <w:rFonts w:ascii="Times New Roman;sans-serif" w:hAnsi="Times New Roman;sans-serif"/>
          <w:b/>
          <w:i/>
          <w:color w:val="000000"/>
          <w:sz w:val="22"/>
        </w:rPr>
        <w:t>Register</w:t>
      </w:r>
      <w:r>
        <w:rPr>
          <w:color w:val="000000"/>
        </w:rPr>
        <w:t>”</w:t>
      </w:r>
      <w:r>
        <w:rPr>
          <w:rFonts w:ascii="Times New Roman;sans-serif" w:hAnsi="Times New Roman;sans-serif"/>
          <w:b w:val="false"/>
          <w:color w:val="000000"/>
          <w:sz w:val="22"/>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Participations</w:t>
      </w:r>
      <w:r>
        <w:rPr>
          <w:rFonts w:ascii="Times New Roman;sans-serif" w:hAnsi="Times New Roman;sans-serif"/>
          <w:b w:val="false"/>
          <w:color w:val="000000"/>
          <w:sz w:val="22"/>
        </w:rPr>
        <w:t>. Any Lender may at any time, without the consent of, or notice to, the Borrower or the Administrative Agent, sell participations to any Person (other than a natural Person, the Borrower or any of the Borrower’s Affiliates or Subsidiaries, or, an Excluded Lender) (each, a “</w:t>
      </w:r>
      <w:r>
        <w:rPr>
          <w:rFonts w:ascii="Times New Roman;sans-serif" w:hAnsi="Times New Roman;sans-serif"/>
          <w:b/>
          <w:i/>
          <w:color w:val="000000"/>
          <w:sz w:val="22"/>
        </w:rPr>
        <w:t>Participant</w:t>
      </w:r>
      <w:r>
        <w:rPr>
          <w:color w:val="000000"/>
        </w:rPr>
        <w:t>”</w:t>
      </w:r>
      <w:r>
        <w:rPr>
          <w:rFonts w:ascii="Times New Roman;sans-serif" w:hAnsi="Times New Roman;sans-serif"/>
          <w:b w:val="false"/>
          <w:color w:val="000000"/>
          <w:sz w:val="22"/>
        </w:rPr>
        <w:t xml:space="preserve">) in all or a portion of such Lender’s rights and/or obligations under this Agreement (including all or a portion of its Commitment and/or the Loans owing to it);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 For the avoidance of doubt, each Lender shall be responsible for the indemnities under Section 9.7 with respect to any payments made by such Lender to its Participant(s).</w:t>
      </w:r>
    </w:p>
    <w:p>
      <w:pPr>
        <w:pStyle w:val="TextBody"/>
        <w:bidi w:val="0"/>
        <w:spacing w:lineRule="auto" w:line="288" w:before="0" w:after="240"/>
        <w:jc w:val="both"/>
        <w:rPr/>
      </w:pPr>
      <w:r>
        <w:rPr>
          <w:rFonts w:ascii="Times New Roman;sans-serif" w:hAnsi="Times New Roman;sans-serif"/>
          <w:b w:val="false"/>
          <w:color w:val="000000"/>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such agreement or instrument may provide that such Lender will not, without the consent of the Participant, agree to any amendment, modification or waiver which affects such Participant and for which the consent of such Lender is required (as described in Section 10.1). The Borrower agrees that each Participant shall be entitled to the benefits of Sections 2.19 (other than Section 2.19(a)), 2.20</w:t>
      </w:r>
      <w:r>
        <w:rPr>
          <w:color w:val="000000"/>
        </w:rPr>
        <w:t xml:space="preserve"> </w:t>
      </w:r>
      <w:r>
        <w:rPr>
          <w:rFonts w:ascii="Times New Roman;sans-serif" w:hAnsi="Times New Roman;sans-serif"/>
          <w:b w:val="false"/>
          <w:color w:val="000000"/>
          <w:sz w:val="22"/>
        </w:rPr>
        <w:t xml:space="preserve">and 2.21 (subject to the requirements and limitations therein, including the requirements under Section 2.20(f) (it being understood that the documentation required under Section 2.20(f) shall be delivered by such Participant to the Lender granting such participation)) to the same extent as if it were a Lender and had acquired its interest by assignment pursuant to Section 10.6(b);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such Participant (A) agrees to be subject to the provisions of Sections 2.22 and 2.23 as if it were an assignee under Section 10.6(b); and (B) shall not be entitled to receive any greater payment under Sections 2.19 or 2.20, with respect to any participation, than its participating Lender would have been entitled to receive, except to the extent such entitlement to receive a greater payment results from a change in any Requirement of Law that occurs after the Participant acquired the applicable participation. Each Lender that sells a participation agrees, at the Borrower's request and expense, to use reasonable efforts to cooperate with the Borrower to effectuate the provisions of Section 2.23 with respect to any Participant. To the extent permitted by law, each Participant also shall be entitled to the benefits of Section 10.7</w:t>
      </w:r>
      <w:r>
        <w:rPr>
          <w:color w:val="000000"/>
        </w:rPr>
        <w:t xml:space="preserve"> </w:t>
      </w:r>
      <w:r>
        <w:rPr>
          <w:rFonts w:ascii="Times New Roman;sans-serif" w:hAnsi="Times New Roman;sans-serif"/>
          <w:b w:val="false"/>
          <w:color w:val="000000"/>
          <w:sz w:val="22"/>
        </w:rPr>
        <w:t xml:space="preserve">as though it were a Lender;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such Participant agrees to be subject to Section 2.18(k)</w:t>
      </w:r>
      <w:r>
        <w:rPr>
          <w:color w:val="000000"/>
        </w:rPr>
        <w:t xml:space="preserve"> </w:t>
      </w:r>
      <w:r>
        <w:rPr>
          <w:rFonts w:ascii="Times New Roman;sans-serif" w:hAnsi="Times New Roman;sans-serif"/>
          <w:b w:val="false"/>
          <w:color w:val="000000"/>
          <w:sz w:val="22"/>
        </w:rPr>
        <w:t>as though it were a Lender. Each Lender that sells a participation shall, acting solely for this purpose as a non-fiduciary agent of the Borrower, maintain a register on which it enters the name and address of each Participant and the principal amounts of (and stated interest on) each Participant’s interest in the Loans or other obligations under the Loan Documents (the “</w:t>
      </w:r>
      <w:r>
        <w:rPr>
          <w:rFonts w:ascii="Times New Roman;sans-serif" w:hAnsi="Times New Roman;sans-serif"/>
          <w:b/>
          <w:i/>
          <w:color w:val="000000"/>
          <w:sz w:val="22"/>
        </w:rPr>
        <w:t>Participant Register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560705"/>
                <wp:effectExtent l="0" t="0" r="0" b="0"/>
                <wp:wrapNone/>
                <wp:docPr id="259" name="Frame25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letter of credit or other obligation is in registered form under Section 5f.103-1(c) of the United States Treasury Regulations and Section 1.163-5 of the proposed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Certain Pledges</w:t>
      </w:r>
      <w:r>
        <w:rPr>
          <w:rFonts w:ascii="Times New Roman;sans-serif" w:hAnsi="Times New Roman;sans-serif"/>
          <w:b w:val="false"/>
          <w:color w:val="000000"/>
          <w:sz w:val="22"/>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no such pledge or assignment shall release such Lender from any of its obligations hereunder or substitute any such pledgee or assignee for such Lender as a party hereto.</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Notes</w:t>
      </w:r>
      <w:r>
        <w:rPr>
          <w:rFonts w:ascii="Times New Roman;sans-serif" w:hAnsi="Times New Roman;sans-serif"/>
          <w:b w:val="false"/>
          <w:color w:val="000000"/>
          <w:sz w:val="22"/>
        </w:rPr>
        <w:t>. The Borrower, upon receipt by the Borrower of written notice from the relevant Lender, agrees to issue Notes to any Lender requiring Notes to facilitate transactions of the type described in Section 10.6.</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Representations and Warranties of Lenders</w:t>
      </w:r>
      <w:r>
        <w:rPr>
          <w:rFonts w:ascii="Times New Roman;sans-serif" w:hAnsi="Times New Roman;sans-serif"/>
          <w:b w:val="false"/>
          <w:color w:val="000000"/>
          <w:sz w:val="22"/>
        </w:rPr>
        <w:t xml:space="preserve">. Each Lender, upon execution and delivery hereof or upon succeeding to an interest in the Commitments or Loans, as the case may be, represents and warrants as of the Closing Date or as of the effective date of the applicable Assignment and Assumption that (i) it is an Eligible Assignee; (ii) it has experience and expertise in the making of or investing in commitments, loans or investments such as the Commitments and Loans; and (iii) it will make or invest in its Commitments and Loans for its own account in the ordinary course of its business and without a view to distribution of such Commitments and Loans within the meaning of the Securities Act or the Exchange Act, or other federal securities laws (it being understood that, subject to the provisions of this </w:t>
      </w:r>
      <w:r>
        <w:rPr>
          <w:rFonts w:ascii="Times New Roman;sans-serif" w:hAnsi="Times New Roman;sans-serif"/>
          <w:b w:val="false"/>
          <w:color w:val="000000"/>
          <w:sz w:val="22"/>
          <w:u w:val="single"/>
        </w:rPr>
        <w:t>Section 10.6</w:t>
      </w:r>
      <w:r>
        <w:rPr>
          <w:rFonts w:ascii="Times New Roman;sans-serif" w:hAnsi="Times New Roman;sans-serif"/>
          <w:b w:val="false"/>
          <w:color w:val="000000"/>
          <w:sz w:val="22"/>
        </w:rPr>
        <w:t>, the disposition of such Commitments and Loans or any interests therein shall at all times remain within its exclusive control).</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(h)    Any Lender may, so long as no Event of Default has occurred and is continuing or would result therefrom, assign all or a portion of its rights and obligations with respect to the Loans under this Agreement to the Borrower or any Subsidiary through (x) Dutch auctions open to all Lenders in accordance with procedures of the type described in Section 2.29 or (y) open market purchase on a non-</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 xml:space="preserve">basis, in each case subject to the following limitations;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 xml:space="preserve">that (x) if the assignee is the Borrower or any of its Subsidiaries, upon such assignment, transfer or contribution, the applicable assignee will automatically be deemed to have contributed or transferred the principal amount of such Loans,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all accrued and unpaid interest thereon, to the Borrower; or (y) if the assignee is the Borrower (including through contribution or transfers set forth in clause (x)), (a) the principal amount of such Loans, along with all accrued and unpaid interest thereon, so contributed, assigned or transferred to the Borrower will be deemed automatically cancelled and extinguished on the date of such contribution, assignment or transfer, (b) the aggregate outstanding principal amount of Loans of the remaining Lenders will reflect such cancellation and extinguishing of the Loans then held by the Borrower and (c) the Borrower will promptly provide notice to the Administrative Agent of such contribution, assignment or transfer of such Loans, and the Administrative Agent, upon receipt of such notice, will reflect the cancellation of the applicable Loans in the Register.</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560705"/>
                <wp:effectExtent l="0" t="0" r="0" b="0"/>
                <wp:wrapNone/>
                <wp:docPr id="260" name="Frame26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10.7    Adjustments; Set-off</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Except to the extent that this Agreement expressly provides for payments to be allocated to a particular Lender or to the Lenders under a particular Facility, if any Lender (a “</w:t>
      </w:r>
      <w:r>
        <w:rPr>
          <w:rFonts w:ascii="Times New Roman;sans-serif" w:hAnsi="Times New Roman;sans-serif"/>
          <w:b/>
          <w:i/>
          <w:color w:val="000000"/>
          <w:sz w:val="22"/>
        </w:rPr>
        <w:t>Benefitted Lender</w:t>
      </w:r>
      <w:r>
        <w:rPr>
          <w:color w:val="000000"/>
        </w:rPr>
        <w:t>”</w:t>
      </w:r>
      <w:r>
        <w:rPr>
          <w:rFonts w:ascii="Times New Roman;sans-serif" w:hAnsi="Times New Roman;sans-serif"/>
          <w:b w:val="false"/>
          <w:color w:val="000000"/>
          <w:sz w:val="22"/>
        </w:rPr>
        <w:t xml:space="preserve">) shall, at any time after the Loans and other amounts payable hereunder shall immediately become due and payable pursuant to Section 8.2, receive any payment of all or part of the Obligations owing to it, or receive any collateral in respect thereof (whether voluntarily or involuntarily, by set-off, pursuant to events or proceedings of the nature referred to in Section 8.1(f),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if all or any portion of such excess payment or benefits is thereafter recovered from such Benefitted Lender, such purchase shall be rescinded, and the purchase price and benefits returned, to the extent of such recovery, but without interest.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(b)    Upon the occurrence and during the continuance of any Event of Default, each Lender and each of its Affiliates is hereby authorized at any time and from time to time, without prior notice to the Borrower or any other Loan Party, any such notice being expressly waived by the Borrower and each Loan Party, to the fullest extent permitted by applicable law, to set off and apply any and all deposits (general or special, time or demand, provisional or final), in any currency, at any time held or owing, and any other credits, indebtedness, claims or obligations, in any currency, in each case whether direct or indirect, absolute or contingent, matured or unmatured, at any time held or owing by such Lender, its Affiliates or any branch or agency thereof to or for the credit or the account of the Borrower or any other Loan Party, as the case may be, against any and all of the obligations of the Borrower or such other Loan Party now or hereafter existing under this Agreement or any other Loan Document to such Lender or its Affiliates, irrespective of whether or not such Lender or Affiliate shall have made any demand under this Agreement or any other Loan Document and although such obligations of the Borrower or such other Loan Party may be contingent or unmatured or are owed to a branch, office or Affiliate of such Lender different from the branch, office or Affiliate holding such deposit or obligated on such indebtedness;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in the event that any Defaulting Lender or any of its Affiliates shall exercise any such right of setoff, (x) all amounts so set off shall be paid over immediately to the Administrative Agent for further application in accordance with the provisions of Section 2.24 and, pending such payment, shall be segregated by such Defaulting Lender or Affiliate thereof from its other funds and deemed held in trust for the benefit of the Administrative Agent and the Lenders, and (y) the Defaulting Lender shall provide promptly to the Administrative Agent a statement describing in reasonable detail the Obligations owing to such Defaulting Lender or Affiliate thereof as to which it exercised such right of setoff. Each Lender agrees to notify the Borrower and the Administrative Agent promptly after any such setoff and application made by such Lender or any of its Affiliates;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failure to give such notice shall not affect the validity of such setoff and application. The rights of each Lender and its Affiliates under this Section 10.7 are in addition to other rights and remedies (including other rights of set-off) which such Lender or its Affiliates may have.</w:t>
      </w:r>
    </w:p>
    <w:p>
      <w:pPr>
        <w:pStyle w:val="TextBody"/>
        <w:bidi w:val="0"/>
        <w:spacing w:lineRule="auto" w:line="288" w:before="0" w:after="240"/>
        <w:ind w:left="0" w:right="0" w:firstLine="720"/>
        <w:jc w:val="both"/>
        <w:rPr/>
      </w:pPr>
      <w:r>
        <w:rPr>
          <w:rFonts w:ascii="Times New Roman;sans-serif" w:hAnsi="Times New Roman;sans-serif"/>
          <w:b/>
          <w:color w:val="000000"/>
          <w:sz w:val="22"/>
        </w:rPr>
        <w:t>10.8    Payments Set Aside</w:t>
      </w:r>
      <w:r>
        <w:rPr>
          <w:rFonts w:ascii="Times New Roman;sans-serif" w:hAnsi="Times New Roman;sans-serif"/>
          <w:b w:val="false"/>
          <w:color w:val="000000"/>
          <w:sz w:val="22"/>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560705"/>
                <wp:effectExtent l="0" t="0" r="0" b="0"/>
                <wp:wrapNone/>
                <wp:docPr id="261" name="Frame26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 xml:space="preserve">interest thereon from the date of such demand to the date such payment is made at a rate </w:t>
      </w:r>
      <w:r>
        <w:rPr>
          <w:rFonts w:ascii="Times New Roman;sans-serif" w:hAnsi="Times New Roman;sans-serif"/>
          <w:b w:val="false"/>
          <w:i/>
          <w:color w:val="000000"/>
          <w:sz w:val="22"/>
        </w:rPr>
        <w:t>per annum</w:t>
      </w:r>
      <w:r>
        <w:rPr>
          <w:color w:val="000000"/>
        </w:rPr>
        <w:t xml:space="preserve"> </w:t>
      </w:r>
      <w:r>
        <w:rPr>
          <w:rFonts w:ascii="Times New Roman;sans-serif" w:hAnsi="Times New Roman;sans-serif"/>
          <w:b w:val="false"/>
          <w:color w:val="000000"/>
          <w:sz w:val="22"/>
        </w:rPr>
        <w:t>equal to the Federal Funds Effective Rate from time to time in effect. The obligations of the Lenders under clause (b) of the preceding sentence shall survive the Discharge of Obligations.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10.9    Interest Rate Limitation</w:t>
      </w:r>
      <w:r>
        <w:rPr>
          <w:rFonts w:ascii="Times New Roman;sans-serif" w:hAnsi="Times New Roman;sans-serif"/>
          <w:b w:val="false"/>
          <w:color w:val="000000"/>
          <w:sz w:val="22"/>
        </w:rPr>
        <w:t>. Notwithstanding anything to the contrary contained in any Loan Document, the interest paid or agreed to be paid under the Loan Documents shall not exceed the maximum rate of non-usurious interest permitted by applicable law (the “</w:t>
      </w:r>
      <w:r>
        <w:rPr>
          <w:rFonts w:ascii="Times New Roman;sans-serif" w:hAnsi="Times New Roman;sans-serif"/>
          <w:b/>
          <w:i/>
          <w:color w:val="000000"/>
          <w:sz w:val="22"/>
        </w:rPr>
        <w:t>Maximum Rate</w:t>
      </w:r>
      <w:r>
        <w:rPr>
          <w:color w:val="000000"/>
        </w:rPr>
        <w:t>”</w:t>
      </w:r>
      <w:r>
        <w:rPr>
          <w:rFonts w:ascii="Times New Roman;sans-serif" w:hAnsi="Times New Roman;sans-serif"/>
          <w:b w:val="false"/>
          <w:color w:val="000000"/>
          <w:sz w:val="22"/>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lineRule="auto" w:line="288" w:before="0" w:after="240"/>
        <w:ind w:left="0" w:right="0" w:firstLine="720"/>
        <w:jc w:val="both"/>
        <w:rPr/>
      </w:pPr>
      <w:r>
        <w:rPr>
          <w:rFonts w:ascii="Times New Roman;sans-serif" w:hAnsi="Times New Roman;sans-serif"/>
          <w:b/>
          <w:color w:val="000000"/>
          <w:sz w:val="22"/>
        </w:rPr>
        <w:t>10.10    Counterparts; Electronic Execution of Assignments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electronic mail transmission shall be effective as delivery of an original executed counterpart hereof. An electronic set of the copies of this Agreement signed by all the parties shall be lodged with the Borrower and the Administrative Agent.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0" w:after="240"/>
        <w:ind w:left="0" w:right="0" w:firstLine="720"/>
        <w:jc w:val="both"/>
        <w:rPr/>
      </w:pPr>
      <w:r>
        <w:rPr>
          <w:rFonts w:ascii="Times New Roman;sans-serif" w:hAnsi="Times New Roman;sans-serif"/>
          <w:b/>
          <w:color w:val="000000"/>
          <w:sz w:val="22"/>
        </w:rPr>
        <w:t>10.11    Severability</w:t>
      </w:r>
      <w:r>
        <w:rPr>
          <w:rFonts w:ascii="Times New Roman;sans-serif" w:hAnsi="Times New Roman;sans-serif"/>
          <w:b w:val="false"/>
          <w:color w:val="000000"/>
          <w:sz w:val="22"/>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Without limiting the foregoing provisions of this Section 10.11, if and to the extent that the enforceability of any provisions in this Agreement relating to Defaulting Lenders shall be limited under or in connection with any Insolvency Proceeding, as determined in good faith by the Administrative Agent, then such provisions shall be deemed to be in effect only to the extent not so limited.</w:t>
      </w:r>
    </w:p>
    <w:p>
      <w:pPr>
        <w:pStyle w:val="TextBody"/>
        <w:bidi w:val="0"/>
        <w:spacing w:lineRule="auto" w:line="288" w:before="0" w:after="240"/>
        <w:ind w:left="0" w:right="0" w:firstLine="720"/>
        <w:jc w:val="both"/>
        <w:rPr/>
      </w:pPr>
      <w:r>
        <w:rPr>
          <w:rFonts w:ascii="Times New Roman;sans-serif" w:hAnsi="Times New Roman;sans-serif"/>
          <w:b/>
          <w:color w:val="000000"/>
          <w:sz w:val="22"/>
        </w:rPr>
        <w:t>10.12    Integration</w:t>
      </w:r>
      <w:r>
        <w:rPr>
          <w:rFonts w:ascii="Times New Roman;sans-serif" w:hAnsi="Times New Roman;sans-serif"/>
          <w:b w:val="false"/>
          <w:color w:val="000000"/>
          <w:sz w:val="22"/>
        </w:rPr>
        <w:t xml:space="preserve">. This Agreement and the other Loan Documents represent the entire agreement of the Borrower, the other Loan Parties, the Administrative Agent and the Lenders with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560705"/>
                <wp:effectExtent l="0" t="0" r="0" b="0"/>
                <wp:wrapNone/>
                <wp:docPr id="262" name="Frame26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pStyle w:val="TextBody"/>
        <w:bidi w:val="0"/>
        <w:spacing w:lineRule="auto" w:line="288" w:before="0" w:after="240"/>
        <w:ind w:left="0" w:right="0" w:firstLine="720"/>
        <w:jc w:val="both"/>
        <w:rPr/>
      </w:pPr>
      <w:r>
        <w:rPr>
          <w:rFonts w:ascii="Times New Roman;sans-serif" w:hAnsi="Times New Roman;sans-serif"/>
          <w:b/>
          <w:color w:val="000000"/>
          <w:sz w:val="22"/>
        </w:rPr>
        <w:t>10.13    GOVERNING LAW</w:t>
      </w:r>
      <w:r>
        <w:rPr>
          <w:rFonts w:ascii="Times New Roman;sans-serif" w:hAnsi="Times New Roman;sans-serif"/>
          <w:b w:val="false"/>
          <w:color w:val="000000"/>
          <w:sz w:val="22"/>
        </w:rPr>
        <w:t>. THIS AGREEMENT, THE OTHER LOAN DOCUMENTS, AND ANY CLAIM, CONTROVERSY, DISPUTE, CAUSE OF ACTION, OR PROCEEDING (WHETHER BASED IN CONTRACT, TORT, OR OTHERWISE) BASED UPON, ARISING OUT OF, CONNECTED WITH, OR RELATING TO THIS AGREEMENT OR ANY OTHER LOAN DOCUMENT (EXCEPT, AS TO ANY OTHER LOAN DOCUMENT, AS EXPRESSLY SET FORTH THEREIN) AND THE TRANSACTIONS CONTEMPLATED HEREBY AND THEREBY, AND THE RIGHTS AND OBLIGATIONS OF THE PARTIES HERETO AND THERETO, SHALL BE GOVERNED BY, AND CONSTRUED AND INTERPRETED IN ACCORDANCE WITH, THE LAWS OF THE STATE OF NEW YORK. This Section 10.13 shall survive the Discharge of Obligations.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10.14    Submission to Jurisdiction; Waivers</w:t>
      </w:r>
      <w:r>
        <w:rPr>
          <w:rFonts w:ascii="Times New Roman;sans-serif" w:hAnsi="Times New Roman;sans-serif"/>
          <w:b w:val="false"/>
          <w:color w:val="000000"/>
          <w:sz w:val="22"/>
        </w:rPr>
        <w:t>. Each party hereto hereby irrevocably and unconditionally: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agrees that all disputes, controversies, claims, actions and other proceedings involving, directly or indirectly, any matter in any way arising out of, related to, or connected with, this Agreement, any other Loan Document, any contemplated transactions related hereto or thereto, or the relationship between any Loan Party, on the one hand, and the Administrative Agent or any Lender or any other Secured Party, on the other hand, and any and all other claims of any of the Borrower against the Administrative Agent or any Lender or any other Secured Party of any kind, shall be brought only in state courts in New York county and federal courts in the Southern District of the State of New York;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nothing in this Agreement shall be deemed to operate to preclude the Administrative Agent or any Lender or any other Secured Party from bringing suit or taking other legal action in any other jurisdiction to realize on the Collateral or any other security for the Obligations, or to enforce a judgment or other court order in favor of Administrative Agent or such Lender or any other Secured Party. The Borrower, on behalf of itself and each other Loan Party, (i) expressly submits and consents in advance to such jurisdiction in any action or suit commenced in any such court, (ii) hereby waives any objection that it may have based upon lack of personal jurisdiction, improper venue, or forum non conveniens and hereby consents to the granting of such legal or equitable relief as is deemed appropriate by such court, and (iii) agrees that it shall not file any motion or other application seeking to change the venue of any such suit or other action. The Borrower, on behalf of itself and each other Loan Party, hereby waives personal service of any summons, complaints, and other process issued in any such action or suit and agrees that service of any such summons, complaints, and other process may be made by registered or certified mail addressed to the Borrower at the addresses set forth in </w:t>
      </w:r>
      <w:r>
        <w:rPr>
          <w:rFonts w:ascii="Times New Roman;sans-serif" w:hAnsi="Times New Roman;sans-serif"/>
          <w:b w:val="false"/>
          <w:color w:val="000000"/>
          <w:sz w:val="22"/>
          <w:u w:val="single"/>
        </w:rPr>
        <w:t>Section 10.2</w:t>
      </w:r>
      <w:r>
        <w:rPr>
          <w:color w:val="000000"/>
        </w:rPr>
        <w:t xml:space="preserve"> </w:t>
      </w:r>
      <w:r>
        <w:rPr>
          <w:rFonts w:ascii="Times New Roman;sans-serif" w:hAnsi="Times New Roman;sans-serif"/>
          <w:b w:val="false"/>
          <w:color w:val="000000"/>
          <w:sz w:val="22"/>
        </w:rPr>
        <w:t>of this Agreement and that service so made shall be deemed completed upon the earlier to occur of the Borrower’s actual receipt thereof or three (3) days after deposit in the U.S. mails, proper postage prepaid;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WAIVES, TO THE EXTENT PERMITTED BY APPLICABLE LAW, ITS RIGHT TO A JURY TRIAL OF ANY CLAIM OR CAUSE OF ACTION ARISING OUT OF OR BASED UPON THIS AGREEMENT, THE OTHER LOAN DOCUMENTS OR ANY CONTEMPLATED TRANSACTION, INCLUDING CONTRACT, TORT, BREACH OF DUTY AND ALL OTHER CLAIMS. THIS WAIVER IS A MATERIAL INDUCEMENT FOR THE PARTIES TO ENTER INTO THIS AGREEMENT. EACH PARTY HAS REVIEWED THIS WAIVER WITH ITS COUNSEL; and</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560705"/>
                <wp:effectExtent l="0" t="0" r="0" b="0"/>
                <wp:wrapNone/>
                <wp:docPr id="263" name="Frame26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waives, to the maximum extent not prohibited by law, any right it may have to claim or recover in any legal action or proceeding referred to in this Section any special, exemplary, punitive or consequential damages.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Section 10.14 shall survive the Discharge of Obligations.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10.15    Acknowledgements</w:t>
      </w:r>
      <w:r>
        <w:rPr>
          <w:rFonts w:ascii="Times New Roman;sans-serif" w:hAnsi="Times New Roman;sans-serif"/>
          <w:b w:val="false"/>
          <w:color w:val="000000"/>
          <w:sz w:val="22"/>
        </w:rPr>
        <w:t>. The Borrower hereby acknowledges that: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it has been advised by counsel in the negotiation, execution and delivery of this Agreement and the other Loan Documents;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none of the Administrative Agent nor any Lender has any fiduciary relationship with or duty to the Borrower arising out of or in connection with this Agreement or any of the other Loan Documents, and the relationship between the Administrative Agent and Lenders, on one hand, and the Borrower, on the other hand, in connection herewith or therewith is solely that of debtor and creditor;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no joint venture is created hereby or by the other Loan Documents or otherwise exists by virtue of the transactions contemplated hereby among the Lenders or among the Borrower and the Lenders.</w:t>
      </w:r>
    </w:p>
    <w:p>
      <w:pPr>
        <w:pStyle w:val="TextBody"/>
        <w:bidi w:val="0"/>
        <w:spacing w:lineRule="auto" w:line="288" w:before="0" w:after="240"/>
        <w:ind w:left="0" w:right="0" w:firstLine="720"/>
        <w:jc w:val="both"/>
        <w:rPr/>
      </w:pPr>
      <w:r>
        <w:rPr>
          <w:rFonts w:ascii="Times New Roman;sans-serif" w:hAnsi="Times New Roman;sans-serif"/>
          <w:b/>
          <w:color w:val="000000"/>
          <w:sz w:val="22"/>
        </w:rPr>
        <w:t>10.16    Releases of Guarantees and Liens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Notwithstanding anything to the contrary contained herein or in any other Loan Document, the Administrative Agent is hereby irrevocably authorized by each Lender (without requirement of notice to or consent of any Lender except as expressly required by Section 10.1) to take any action requested by the Borrower having the effect of releasing any Collateral or Guarantee Obligations (1) to the extent necessary to permit consummation of any transaction not prohibited by any Loan Document or that has been consented to in accordance with Section 10.1 or (2) under the circumstances described in Section 10.16(b) below.</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Upon the Discharge of Obligations, the Collateral shall be released from the Liens created by the Security Documents, and all obligations (other than those expressly stated to survive such termination) of the Administrative Agent and each Loan Party under the Security Documents shall terminate, all without delivery of any instrument or performance of any act by any Person. </w:t>
      </w:r>
    </w:p>
    <w:p>
      <w:pPr>
        <w:pStyle w:val="TextBody"/>
        <w:bidi w:val="0"/>
        <w:spacing w:lineRule="auto" w:line="288" w:before="0" w:after="240"/>
        <w:ind w:left="0" w:right="0" w:firstLine="720"/>
        <w:jc w:val="both"/>
        <w:rPr/>
      </w:pPr>
      <w:r>
        <w:rPr>
          <w:rFonts w:ascii="Times New Roman;sans-serif" w:hAnsi="Times New Roman;sans-serif"/>
          <w:b/>
          <w:color w:val="000000"/>
          <w:sz w:val="22"/>
        </w:rPr>
        <w:t>10.17    Treatment of Certain Information; Confidentiality</w:t>
      </w:r>
      <w:r>
        <w:rPr>
          <w:rFonts w:ascii="Times New Roman;sans-serif" w:hAnsi="Times New Roman;sans-serif"/>
          <w:b w:val="false"/>
          <w:color w:val="000000"/>
          <w:sz w:val="22"/>
        </w:rPr>
        <w:t xml:space="preserve">. Each of the Administrative Agent and each Lender agrees to maintain the confidentiality of the Information (as defined below), except that Information may be disclosed (a) to its Affiliates and to its Related Parties and financing sources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(other than, to an Excluded Lender), or (ii) any actual or prospective party (or its Related Parties) (other than, an Excluded Lender) to any swap, derivative or other transaction under which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560705"/>
                <wp:effectExtent l="0" t="0" r="0" b="0"/>
                <wp:wrapNone/>
                <wp:docPr id="264" name="Frame26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payments are to be made by reference to the Borrower and its obligations, this Agreement or payments hereunder; (g) on a confidential basis to (i) any rating agency in connection with rating the Borrower or its Subsidiaries or the Facilities or (ii) the CUSIP Service Bureau or any similar agency in connection with the issuance and monitoring of CUSIP numbers with respect to the Facilities;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In addition, the Administrative Agent, the Lenders, and any of their respective Related Parties, may (A) disclose the existence of this Agreement and 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 confidentiality restrictions) related to the arrangement of the credit facilities contemplated by this Agreement in connection with marketing, press releases, or other transactional announcements or updates provided to investor or trade publications, including the placement of “tombstone” advertisements in publications of its choice at its own expense.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 rules, and regulations.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For purposes of this Section, “</w:t>
      </w:r>
      <w:r>
        <w:rPr>
          <w:rFonts w:ascii="Times New Roman;sans-serif" w:hAnsi="Times New Roman;sans-serif"/>
          <w:b/>
          <w:i/>
          <w:color w:val="000000"/>
          <w:sz w:val="22"/>
        </w:rPr>
        <w:t>Information</w:t>
      </w:r>
      <w:r>
        <w:rPr>
          <w:color w:val="000000"/>
        </w:rPr>
        <w:t xml:space="preserve">” </w:t>
      </w:r>
      <w:r>
        <w:rPr>
          <w:rFonts w:ascii="Times New Roman;sans-serif" w:hAnsi="Times New Roman;sans-serif"/>
          <w:b w:val="false"/>
          <w:color w:val="000000"/>
          <w:sz w:val="22"/>
        </w:rPr>
        <w:t xml:space="preserve">means all information received from the Borrower or any of its Subsidiaries relating to the Borrower or any of its Subsidiaries or any of their respective businesses, other than any such information that is available to the Administrative Agent or any Lender on a non-confidential basis prior to disclosure by the Borrower or any of its Subsidiaries;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Without limiting the foregoing, the list of Excluded Lenders may be made available to prospective Lenders and participants on a confidential basis in connection with any bona fide assignment or participation of the Obligations or any portion thereof. </w:t>
      </w:r>
    </w:p>
    <w:p>
      <w:pPr>
        <w:pStyle w:val="TextBody"/>
        <w:bidi w:val="0"/>
        <w:spacing w:lineRule="auto" w:line="288" w:before="0" w:after="240"/>
        <w:ind w:left="0" w:right="0" w:firstLine="720"/>
        <w:jc w:val="both"/>
        <w:rPr/>
      </w:pPr>
      <w:r>
        <w:rPr>
          <w:rFonts w:ascii="Times New Roman;sans-serif" w:hAnsi="Times New Roman;sans-serif"/>
          <w:b/>
          <w:color w:val="000000"/>
          <w:sz w:val="22"/>
        </w:rPr>
        <w:t>10.18    Credit Bidding</w:t>
      </w:r>
      <w:r>
        <w:rPr>
          <w:rFonts w:ascii="Times New Roman;sans-serif" w:hAnsi="Times New Roman;sans-serif"/>
          <w:b w:val="false"/>
          <w:color w:val="000000"/>
          <w:sz w:val="22"/>
        </w:rPr>
        <w:t xml:space="preserve">.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at any sale thereof conducted under the provisions of the Bankruptcy Code, including under Sections 363, 1123 or 1129 of the Bankruptcy Code, or any similar laws in any other jurisdictions to which a Loan Party is subject; or </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560705"/>
                <wp:effectExtent l="0" t="0" r="0" b="0"/>
                <wp:wrapNone/>
                <wp:docPr id="265" name="Frame26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at any other sale, foreclosure or acceptance of collateral in lieu of debt conducted by (or with the consent or at the direction of) the Administrative Agent (whether by judicial action or otherwise) in accordance with any applicable law.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used to consummate such purchase).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any such bid: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the Administrative Agent shall be authorized to form one or more acquisition vehicles and to assign any successful credit bid to such acquisition vehicle or vehicles;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(ii)     each of the Secured Parties’ ratable interests in the Obligations which were credit bid shall be deemed without any further action under this Agreement to be assigned to such vehicle or vehicles for the purpose of closing such sale;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(iii)    the Administrative Agent shall be authorized to adopt documents providing for the governance of the acquisition vehicle or vehicles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10.18 of this Agreement);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shall receive interests in or debt instruments issued by such acquisition vehicle) as the Administrative Agent may reasonably request in connection with the formation of any </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560705"/>
                <wp:effectExtent l="0" t="0" r="0" b="0"/>
                <wp:wrapNone/>
                <wp:docPr id="266" name="Frame26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acquisition vehicle, the formulation or submission of any credit bid or the consummation of the transactions contemplated by such credit bid.</w:t>
      </w:r>
    </w:p>
    <w:p>
      <w:pPr>
        <w:pStyle w:val="TextBody"/>
        <w:bidi w:val="0"/>
        <w:spacing w:lineRule="auto" w:line="288" w:before="0" w:after="240"/>
        <w:ind w:left="0" w:right="0" w:firstLine="720"/>
        <w:jc w:val="both"/>
        <w:rPr/>
      </w:pPr>
      <w:r>
        <w:rPr>
          <w:rFonts w:ascii="Times New Roman;sans-serif" w:hAnsi="Times New Roman;sans-serif"/>
          <w:b/>
          <w:color w:val="000000"/>
          <w:sz w:val="22"/>
        </w:rPr>
        <w:t>10.19    Judgment Currency; Exchange Rates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Judgment Currency</w:t>
      </w:r>
      <w:r>
        <w:rPr>
          <w:rFonts w:ascii="Times New Roman;sans-serif" w:hAnsi="Times New Roman;sans-serif"/>
          <w:b w:val="false"/>
          <w:color w:val="000000"/>
          <w:sz w:val="22"/>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and each other Loan Party in respect of any such sum due from it to the Administrative Agent or any Lender hereunder or under any other Loan Document shall, notwithstanding any judgment in a currency (the “</w:t>
      </w:r>
      <w:r>
        <w:rPr>
          <w:rFonts w:ascii="Times New Roman;sans-serif" w:hAnsi="Times New Roman;sans-serif"/>
          <w:b/>
          <w:i/>
          <w:color w:val="000000"/>
          <w:sz w:val="22"/>
        </w:rPr>
        <w:t>Judgment Currency</w:t>
      </w:r>
      <w:r>
        <w:rPr>
          <w:color w:val="000000"/>
        </w:rPr>
        <w:t>”</w:t>
      </w:r>
      <w:r>
        <w:rPr>
          <w:rFonts w:ascii="Times New Roman;sans-serif" w:hAnsi="Times New Roman;sans-serif"/>
          <w:b w:val="false"/>
          <w:color w:val="000000"/>
          <w:sz w:val="22"/>
        </w:rPr>
        <w:t>) other than that in which such sum is denominated in accordance with the applicable provisions of this Agreement (the “</w:t>
      </w:r>
      <w:r>
        <w:rPr>
          <w:rFonts w:ascii="Times New Roman;sans-serif" w:hAnsi="Times New Roman;sans-serif"/>
          <w:b/>
          <w:i/>
          <w:color w:val="000000"/>
          <w:sz w:val="22"/>
        </w:rPr>
        <w:t>Agreement Currency</w:t>
      </w:r>
      <w:r>
        <w:rPr>
          <w:color w:val="000000"/>
        </w:rPr>
        <w:t>”</w:t>
      </w:r>
      <w:r>
        <w:rPr>
          <w:rFonts w:ascii="Times New Roman;sans-serif" w:hAnsi="Times New Roman;sans-serif"/>
          <w:b w:val="false"/>
          <w:color w:val="000000"/>
          <w:sz w:val="22"/>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or any other Loan Party in the Agreement Currency, the Borrower and each other such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other Loan Party, as applicable (or to any other Person who may be entitled thereto under applicable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Currency Conversion</w:t>
      </w:r>
      <w:r>
        <w:rPr>
          <w:rFonts w:ascii="Times New Roman;sans-serif" w:hAnsi="Times New Roman;sans-serif"/>
          <w:b w:val="false"/>
          <w:color w:val="000000"/>
          <w:sz w:val="22"/>
        </w:rPr>
        <w:t xml:space="preserve">. All payments under this Agreement or any other Loan Document shall be made in Dollars. If any payment by the Borrower or the proceeds of any Collateral shall be made in a currency other than the currency required hereunder, such amount shall be converted into the currency required hereunder at the rate reasonably determined by the Administrative Agent as the rate quoted by it in accordance with methods customarily used by such Person for such or similar purposes as the spot rate for the purchase by such Person of the required currency with the currency of actual payment through its principal foreign exchange trading office (including, in the case of the Administrative Agent, any Affiliate) at approximately 11:00 A.M. (local time at such office) two Business Days prior to the effective date of such conversion,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Administrative Agent may obtain such spot rate from another financial institution actively engaged in foreign currency exchange if the Administrative Agent does not then have a spot rate for the required currency.</w:t>
      </w:r>
    </w:p>
    <w:p>
      <w:pPr>
        <w:pStyle w:val="TextBody"/>
        <w:bidi w:val="0"/>
        <w:spacing w:lineRule="auto" w:line="288" w:before="0" w:after="240"/>
        <w:ind w:left="0" w:right="0" w:firstLine="720"/>
        <w:jc w:val="both"/>
        <w:rPr/>
      </w:pPr>
      <w:r>
        <w:rPr>
          <w:rFonts w:ascii="Times New Roman;sans-serif" w:hAnsi="Times New Roman;sans-serif"/>
          <w:b/>
          <w:color w:val="000000"/>
          <w:sz w:val="22"/>
        </w:rPr>
        <w:t>10.20    Patriot Act</w:t>
      </w:r>
      <w:r>
        <w:rPr>
          <w:rFonts w:ascii="Times New Roman;sans-serif" w:hAnsi="Times New Roman;sans-serif"/>
          <w:b w:val="false"/>
          <w:color w:val="000000"/>
          <w:sz w:val="22"/>
        </w:rPr>
        <w:t xml:space="preserve">. Each Lender and the Administrative Agent (for itself and not on behalf of any other party) hereby notifies the Borrower and each other Loan Party that, pursuant to the requirements of “know your customer” and Anti-Money Laundering Laws, including the Patriot Act and 31 C.F.R. § 1010.230, it is required to obtain, verify and record information that identifies the Borrower and each other Loan Party and certain Related Parties thereto, which information includes the names and addresses and other information that will allow such Lender or the Administrative Agent, as applicable, to identify the Borrower, each other Loan Party and certain of their beneficial owners and other officers in accordance with the Patriot Act and 31 C.F.R. § 1010.230. The Borrower and each other Loan Party will, and will cause each of their respective Subsidiaries to, provide, to the extent commercially reasonable or required by any Requirement of Law, such information and documents and take such actions as are reasonably requested by the Administrative Agent or any Lender to assist the Administrative Agent and </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560705"/>
                <wp:effectExtent l="0" t="0" r="0" b="0"/>
                <wp:wrapNone/>
                <wp:docPr id="267" name="Frame26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149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Lenders in maintaining compliance with “know your customer” requirements under the PATRIOT Act, 31 C.F.R. § 1010.230 or other applicable Anti-Money Laundering Laws. </w:t>
      </w:r>
    </w:p>
    <w:p>
      <w:pPr>
        <w:pStyle w:val="TextBody"/>
        <w:bidi w:val="0"/>
        <w:spacing w:lineRule="auto" w:line="288" w:before="0" w:after="240"/>
        <w:ind w:left="0" w:right="0" w:firstLine="720"/>
        <w:jc w:val="both"/>
        <w:rPr/>
      </w:pPr>
      <w:r>
        <w:rPr>
          <w:rFonts w:ascii="Times New Roman;sans-serif" w:hAnsi="Times New Roman;sans-serif"/>
          <w:b/>
          <w:color w:val="000000"/>
          <w:sz w:val="22"/>
        </w:rPr>
        <w:t>10.21    Acknowledgement and Consent to Bail-In of Affected Financial Institutions</w:t>
      </w:r>
      <w:r>
        <w:rPr>
          <w:rFonts w:ascii="Times New Roman;sans-serif" w:hAnsi="Times New Roman;sans-serif"/>
          <w:b w:val="false"/>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application of any Write-Down and Conversion Powers by the applicable Resolution Authority to any such liabilities arising hereunder which may be payable to it by any party hereto that is an Affected Financial Institution;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effects of any Bail-in Action on any such liability, including, if applicable:</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a reduction in full or in part or cancellation of any such liability;</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(iii)    the variation of the terms of such liability in connection with the exercise of the Write-Down and Conversion Powers of the applicable Resolution Authority.</w:t>
      </w:r>
    </w:p>
    <w:p>
      <w:pPr>
        <w:pStyle w:val="TextBody"/>
        <w:bidi w:val="0"/>
        <w:spacing w:lineRule="auto" w:line="288" w:before="0" w:after="240"/>
        <w:ind w:left="0" w:right="0" w:firstLine="720"/>
        <w:jc w:val="both"/>
        <w:rPr/>
      </w:pPr>
      <w:r>
        <w:rPr>
          <w:rFonts w:ascii="Times New Roman;sans-serif" w:hAnsi="Times New Roman;sans-serif"/>
          <w:b/>
          <w:color w:val="000000"/>
          <w:sz w:val="22"/>
        </w:rPr>
        <w:t>10.22    Acknowledgment Regarding any Supported QFCs</w:t>
      </w:r>
      <w:r>
        <w:rPr>
          <w:rFonts w:ascii="Times New Roman;sans-serif" w:hAnsi="Times New Roman;sans-serif"/>
          <w:b w:val="false"/>
          <w:color w:val="000000"/>
          <w:sz w:val="22"/>
        </w:rPr>
        <w:t>. To the extent that the Loan Documents provide support, through a guarantee or otherwise, for Swap Agreements or any other agreement or instrument that is a QFC (such support, “</w:t>
      </w:r>
      <w:r>
        <w:rPr>
          <w:rFonts w:ascii="Times New Roman;sans-serif" w:hAnsi="Times New Roman;sans-serif"/>
          <w:b/>
          <w:i/>
          <w:color w:val="000000"/>
          <w:sz w:val="22"/>
        </w:rPr>
        <w:t>QFC Credit Support</w:t>
      </w:r>
      <w:r>
        <w:rPr>
          <w:color w:val="000000"/>
        </w:rPr>
        <w:t xml:space="preserve">” </w:t>
      </w:r>
      <w:r>
        <w:rPr>
          <w:rFonts w:ascii="Times New Roman;sans-serif" w:hAnsi="Times New Roman;sans-serif"/>
          <w:b w:val="false"/>
          <w:color w:val="000000"/>
          <w:sz w:val="22"/>
        </w:rPr>
        <w:t>and each such QFC a “</w:t>
      </w:r>
      <w:r>
        <w:rPr>
          <w:rFonts w:ascii="Times New Roman;sans-serif" w:hAnsi="Times New Roman;sans-serif"/>
          <w:b/>
          <w:i/>
          <w:color w:val="000000"/>
          <w:sz w:val="22"/>
        </w:rPr>
        <w:t>Supported QFC</w:t>
      </w:r>
      <w:r>
        <w:rPr>
          <w:color w:val="000000"/>
        </w:rPr>
        <w:t>”</w:t>
      </w:r>
      <w:r>
        <w:rPr>
          <w:rFonts w:ascii="Times New Roman;sans-serif" w:hAnsi="Times New Roman;sans-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i/>
          <w:color w:val="000000"/>
          <w:sz w:val="22"/>
        </w:rPr>
        <w:t>U.S. Special Resolution Regimes</w:t>
      </w:r>
      <w:r>
        <w:rPr>
          <w:color w:val="000000"/>
        </w:rPr>
        <w:t>”</w:t>
      </w:r>
      <w:r>
        <w:rPr>
          <w:rFonts w:ascii="Times New Roman;sans-serif" w:hAnsi="Times New Roman;sans-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In the event a Covered Entity that is party to a Supported QFC (each, a “</w:t>
      </w:r>
      <w:r>
        <w:rPr>
          <w:rFonts w:ascii="Times New Roman;sans-serif" w:hAnsi="Times New Roman;sans-serif"/>
          <w:b/>
          <w:i/>
          <w:color w:val="000000"/>
          <w:sz w:val="22"/>
        </w:rPr>
        <w:t>Covered Party</w:t>
      </w:r>
      <w:r>
        <w:rPr>
          <w:color w:val="000000"/>
        </w:rPr>
        <w:t>”</w:t>
      </w:r>
      <w:r>
        <w:rPr>
          <w:rFonts w:ascii="Times New Roman;sans-serif" w:hAnsi="Times New Roman;sans-serif"/>
          <w:b w:val="false"/>
          <w:color w:val="000000"/>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560705"/>
                <wp:effectExtent l="0" t="0" r="0" b="0"/>
                <wp:wrapNone/>
                <wp:docPr id="268" name="Frame26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150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150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left blank intentionally</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560705"/>
                <wp:effectExtent l="0" t="0" r="0" b="0"/>
                <wp:wrapNone/>
                <wp:docPr id="269" name="Frame26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151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151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ans-serif" w:hAnsi="Times New Roman;sans-serif"/>
          <w:b/>
          <w:color w:val="000000"/>
          <w:sz w:val="22"/>
        </w:rPr>
      </w:pPr>
      <w:r>
        <w:rPr>
          <w:rFonts w:ascii="Times New Roman;sans-serif" w:hAnsi="Times New Roman;sans-serif"/>
          <w:b/>
          <w:color w:val="000000"/>
          <w:sz w:val="22"/>
        </w:rPr>
        <w:t>HEALTH CATALYST, INC.</w:t>
      </w:r>
    </w:p>
    <w:p>
      <w:pPr>
        <w:pStyle w:val="TextBody"/>
        <w:bidi w:val="0"/>
        <w:spacing w:lineRule="auto" w:line="288"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as the Borrower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                </w:t>
      </w: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Benjamin Landry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Name: Benjamin Landry</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Title: Secretary and General Counsel</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367665"/>
                <wp:effectExtent l="0" t="0" r="0" b="0"/>
                <wp:wrapNone/>
                <wp:docPr id="270" name="Frame27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[Health Catalyst – 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[Health Catalyst – 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0"/>
        <w:ind w:left="0" w:right="0" w:firstLine="1440"/>
        <w:jc w:val="both"/>
        <w:rPr>
          <w:rFonts w:ascii="Times New Roman;sans-serif" w:hAnsi="Times New Roman;sans-serif"/>
          <w:b/>
          <w:color w:val="000000"/>
          <w:sz w:val="22"/>
        </w:rPr>
      </w:pPr>
      <w:r>
        <w:rPr>
          <w:rFonts w:ascii="Times New Roman;sans-serif" w:hAnsi="Times New Roman;sans-serif"/>
          <w:b/>
          <w:color w:val="000000"/>
          <w:sz w:val="22"/>
        </w:rPr>
        <w:t>SILVER POINT FINANCE, LLC,</w:t>
      </w:r>
    </w:p>
    <w:p>
      <w:pPr>
        <w:pStyle w:val="TextBody"/>
        <w:bidi w:val="0"/>
        <w:spacing w:lineRule="auto" w:line="288" w:before="0" w:after="0"/>
        <w:ind w:left="0" w:right="0" w:firstLine="1080"/>
        <w:jc w:val="center"/>
        <w:rPr>
          <w:rFonts w:ascii="Times New Roman;sans-serif" w:hAnsi="Times New Roman;sans-serif"/>
          <w:b w:val="false"/>
          <w:color w:val="000000"/>
          <w:sz w:val="22"/>
        </w:rPr>
      </w:pPr>
      <w:r>
        <w:rPr>
          <w:rFonts w:ascii="Times New Roman;sans-serif" w:hAnsi="Times New Roman;sans-serif"/>
          <w:b w:val="false"/>
          <w:color w:val="000000"/>
          <w:sz w:val="22"/>
        </w:rPr>
        <w:t>as the Administrative Agent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                </w:t>
      </w: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Jesse Dorigo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Name: Jesse Dorigo</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Title: Authorized Signatory</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367665"/>
                <wp:effectExtent l="0" t="0" r="0" b="0"/>
                <wp:wrapNone/>
                <wp:docPr id="271" name="Frame2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[Health Catalyst – Signature Page to Credit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[Health Catalyst – Signature Page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88" w:before="0" w:after="0"/>
        <w:ind w:left="0" w:right="0" w:firstLine="4320"/>
        <w:jc w:val="both"/>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                </w:t>
      </w: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Name: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Title: Authorized Signatory</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88" w:before="0" w:after="0"/>
        <w:ind w:left="0" w:right="0" w:firstLine="4320"/>
        <w:jc w:val="both"/>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                </w:t>
      </w: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Name: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Title: Authorized Signatory</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88" w:before="0" w:after="0"/>
        <w:ind w:left="0" w:right="0" w:firstLine="4320"/>
        <w:jc w:val="both"/>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                </w:t>
      </w: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Name: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Title: Authorized Signatory</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88" w:before="0" w:after="0"/>
        <w:ind w:left="0" w:right="0" w:firstLine="4320"/>
        <w:jc w:val="both"/>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                </w:t>
      </w: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Name: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Title: Authorized Signatory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542925"/>
                <wp:effectExtent l="0" t="0" r="0" b="0"/>
                <wp:wrapNone/>
                <wp:docPr id="272" name="Frame27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[Health Catalyst – Signature Page to Credit Agreement]</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[Health Catalyst – Signature Page to Credit Agreement]</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88" w:before="0" w:after="0"/>
        <w:ind w:left="0" w:right="0" w:firstLine="4320"/>
        <w:jc w:val="both"/>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                </w:t>
      </w: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Name: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Title: Authorized Signatory</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88" w:before="0" w:after="0"/>
        <w:ind w:left="0" w:right="0" w:firstLine="4320"/>
        <w:jc w:val="both"/>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                </w:t>
      </w: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Name: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Title: Authorized Signatory</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88" w:before="0" w:after="0"/>
        <w:ind w:left="0" w:right="0" w:firstLine="4320"/>
        <w:jc w:val="both"/>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                </w:t>
      </w: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Name: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Title: Authorized Signatory</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88" w:before="0" w:after="0"/>
        <w:ind w:left="0" w:right="0" w:firstLine="4320"/>
        <w:jc w:val="both"/>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                </w:t>
      </w: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Name: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Title: Authorized Signatory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542925"/>
                <wp:effectExtent l="0" t="0" r="0" b="0"/>
                <wp:wrapNone/>
                <wp:docPr id="273" name="Frame27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[Health Catalyst – Signature Page to Credit Agreement]</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[Health Catalyst – Signature Page to Credit Agreement]</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88" w:before="0" w:after="0"/>
        <w:ind w:left="0" w:right="0" w:firstLine="4320"/>
        <w:jc w:val="both"/>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                </w:t>
      </w: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Name: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Title: Authorized Signatory</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88" w:before="0" w:after="0"/>
        <w:ind w:left="0" w:right="0" w:firstLine="4320"/>
        <w:jc w:val="both"/>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                </w:t>
      </w: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Name: [***]</w:t>
      </w:r>
    </w:p>
    <w:p>
      <w:pPr>
        <w:pStyle w:val="TextBody"/>
        <w:bidi w:val="0"/>
        <w:spacing w:lineRule="auto" w:line="288" w:before="0" w:after="0"/>
        <w:ind w:left="0" w:right="0" w:firstLine="1440"/>
        <w:jc w:val="both"/>
        <w:rPr>
          <w:color w:val="000000"/>
        </w:rPr>
      </w:pPr>
      <w:r>
        <w:rPr>
          <w:color w:val="000000"/>
        </w:rPr>
        <w:t>                    </w:t>
      </w:r>
      <w:r>
        <w:rPr>
          <w:rFonts w:ascii="Times New Roman;sans-serif" w:hAnsi="Times New Roman;sans-serif"/>
          <w:b w:val="false"/>
          <w:color w:val="000000"/>
          <w:sz w:val="22"/>
        </w:rPr>
        <w:t>Title: Authorized Signatory</w:t>
      </w:r>
    </w:p>
    <w:p>
      <w:pPr>
        <w:pStyle w:val="TextBody"/>
        <w:bidi w:val="0"/>
        <w:ind w:left="0" w:right="0" w:firstLine="14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542925"/>
                <wp:effectExtent l="0" t="0" r="0" b="0"/>
                <wp:wrapNone/>
                <wp:docPr id="274" name="Frame27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[Health Catalyst – Signature Page to Credit Agreement]</w:t>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[Health Catalyst – Signature Page to Credit Agreement]</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Daniel Burton, certify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Health Catalyst, Inc.;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bl>
      <w:tblPr>
        <w:tblW w:w="2847" w:type="dxa"/>
        <w:jc w:val="left"/>
        <w:tblInd w:w="0" w:type="dxa"/>
        <w:tblLayout w:type="fixed"/>
        <w:tblCellMar>
          <w:top w:w="28" w:type="dxa"/>
          <w:left w:w="28" w:type="dxa"/>
          <w:bottom w:w="28" w:type="dxa"/>
          <w:right w:w="28" w:type="dxa"/>
        </w:tblCellMar>
      </w:tblPr>
      <w:tblGrid>
        <w:gridCol w:w="896"/>
        <w:gridCol w:w="788"/>
        <w:gridCol w:w="791"/>
        <w:gridCol w:w="109"/>
        <w:gridCol w:w="109"/>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Burton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Burton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Jason Alger, certify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Health Catalyst, Inc.;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bl>
      <w:tblPr>
        <w:tblW w:w="2861" w:type="dxa"/>
        <w:jc w:val="left"/>
        <w:tblInd w:w="0" w:type="dxa"/>
        <w:tblLayout w:type="fixed"/>
        <w:tblCellMar>
          <w:top w:w="28" w:type="dxa"/>
          <w:left w:w="28" w:type="dxa"/>
          <w:bottom w:w="28" w:type="dxa"/>
          <w:right w:w="28" w:type="dxa"/>
        </w:tblCellMar>
      </w:tblPr>
      <w:tblGrid>
        <w:gridCol w:w="903"/>
        <w:gridCol w:w="788"/>
        <w:gridCol w:w="798"/>
        <w:gridCol w:w="109"/>
        <w:gridCol w:w="109"/>
        <w:gridCol w:w="154"/>
      </w:tblGrid>
      <w:tr>
        <w:trPr/>
        <w:tc>
          <w:tcPr>
            <w:tcW w:w="90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Jason Alger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Alger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Daniel Burton, Chief Executive Officer of Health Catalyst, Inc. (the “Company”), and Jason Alger, Chief Financial Officer of the Company, each hereby certifies that, to the best of his knowledge:</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Quarterly Report on Form 10-Q for the quarterly period ended June 30, 2024, to which this Certification is attached as Exhibit 32.1 (the “Periodic Report”), fully complies with the requirements of Section 13(a) or Section 15(d) of the Exchange Act;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Periodic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bl>
      <w:tblPr>
        <w:tblW w:w="2862" w:type="dxa"/>
        <w:jc w:val="left"/>
        <w:tblInd w:w="0" w:type="dxa"/>
        <w:tblLayout w:type="fixed"/>
        <w:tblCellMar>
          <w:top w:w="28" w:type="dxa"/>
          <w:left w:w="28" w:type="dxa"/>
          <w:bottom w:w="28" w:type="dxa"/>
          <w:right w:w="28" w:type="dxa"/>
        </w:tblCellMar>
      </w:tblPr>
      <w:tblGrid>
        <w:gridCol w:w="901"/>
        <w:gridCol w:w="793"/>
        <w:gridCol w:w="796"/>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Burton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Burton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Jason Alger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Alger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175</Pages>
  <Words>151402</Words>
  <Characters>819928</Characters>
  <CharactersWithSpaces>971279</CharactersWithSpaces>
  <Paragraphs>6051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