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10-K/A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120" w:after="240"/>
        <w:jc w:val="left"/>
        <w:rPr/>
      </w:pPr>
      <w:r>
        <w:rPr>
          <w:color w:val="000000"/>
        </w:rPr>
        <w:t>☒   </w:t>
      </w:r>
      <w:r>
        <w:rPr>
          <w:rFonts w:ascii="Times New Roman;serif" w:hAnsi="Times New Roman;serif"/>
          <w:b/>
          <w:color w:val="000000"/>
          <w:sz w:val="18"/>
        </w:rPr>
        <w:t>ANNUAL REPORT PURSUANT TO SECTION 13 OR 15(d) OF THE SECURITIES EXCHANGE ACT OF 1934</w:t>
      </w:r>
    </w:p>
    <w:p>
      <w:pPr>
        <w:pStyle w:val="TextBody"/>
        <w:bidi w:val="0"/>
        <w:spacing w:lineRule="auto" w:line="288" w:before="120" w:after="120"/>
        <w:jc w:val="center"/>
        <w:rPr/>
      </w:pPr>
      <w:r>
        <w:rPr>
          <w:rFonts w:ascii="Times New Roman;serif" w:hAnsi="Times New Roman;serif"/>
          <w:b/>
          <w:color w:val="000000"/>
          <w:sz w:val="18"/>
        </w:rPr>
        <w:t>For the fiscal year ended </w:t>
      </w:r>
      <w:r>
        <w:rPr>
          <w:rFonts w:ascii="Times New Roman;serif" w:hAnsi="Times New Roman;serif"/>
          <w:b w:val="false"/>
          <w:color w:val="000000"/>
          <w:sz w:val="20"/>
        </w:rPr>
        <w:t>December 31, 2025</w:t>
      </w:r>
      <w:r>
        <w:rPr>
          <w:color w:val="000000"/>
        </w:rPr>
        <w:t xml:space="preserve">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240"/>
        <w:jc w:val="left"/>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For the transition period from _____ to _____ </w:t>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001-38993 </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HEALTH CATALYST, INC.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w:t>
      </w:r>
    </w:p>
    <w:tbl>
      <w:tblPr>
        <w:tblW w:w="4706"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Identification Number)</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South Jordan, UT 84095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(801) 708-6800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including zip code, and telephone number, including area code, of registrant’s principal executive offices)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240" w:after="283"/>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40" w:after="283"/>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0"/>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The aggregate market value of the common stock held by non-affiliates of the registrant as of June 30, 2025, the last business day of the registrant’s most recently completed second fiscal quarter, was approximately $259.0 million based on the closing price of a share of common stock on June 30, 2025 as reported by the Nasdaq Global Select Market, or Nasdaq, for such date.</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As of March 5, 2026, the Registrant had 73,586,183 shares of common stock outstanding.</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12, 2026, Health Catalyst, Inc. (the “Company”) filed its Annual Report on Form 10-K for the year ended December 31, 2025 (the “Original Form 10-K”) with the Securities and Exchange Commission (the “SEC”). The Original Form 10-K omitted portions of Part III, Items 10 (Directors, Executive Officers and Corporate Governance), 11 (Executive Compensation), 12 (Security Ownership of Certain Beneficial Owners and Management and Related Stockholder Matters), 13 (Certain Relationships and Related Transactions, and Director Independence) and 14 (Principal Accountant Fees and Services) in reliance on General Instruction G(3) to Form 10-K, which provides that such information may be either incorporated by reference from the registrant’s definitive proxy statement or included in an amendment to Form 10-K, in either case filed with the SEC not later than 120 days after the end of the fiscal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Amendment No. 1 to Form 10-K (“Amendment”) is being filed solely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amend and restate Part III, Items 10, 11, 12, 13, and 14 of the Original Form 10-K to include the information required by such Items;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delete the reference on the cover of the Original Form 10-K to the incorporation by reference of portions of an amendment to our annual report on Form 10-K into Part III of the Original Form 10-K;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file new certifications of our principal executive officer and principal financial officer as exhibits to this Amendment under Item 15 of Part IV hereof, pursuant to Rule 12b-15 under the Securities Exchange Act of 1934, as amended (“Exchange Act”). We are amending Item 15 of Part IV to reflect the inclusion of these certifications. Because no financial statements are contained within this Amendment, we are not including certifications pursuant to 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expressly noted above, this Amendment does not modify or update in any way the disclosures made in the Original Form 10-K and does not reflect events occurring after the filing of the Original Form 10-K. Accordingly, this Amendment should be read in conjunction with the Company’s filings made with the SEC subsequent to the filing of the Original 10-K, as information in such filings may update or supersede certain information contained in this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used in this Amendment, unless expressly indicated or the context otherwise requires, references to “we,” “our,” “us,” “Health Catalyst,” “the Company,” and similar references refer to Health Catalyst, Inc. and its consolidated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 to 2024 Annual Report on Form 10-K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46" w:type="dxa"/>
        <w:jc w:val="center"/>
        <w:tblInd w:w="0" w:type="dxa"/>
        <w:tblLayout w:type="fixed"/>
        <w:tblCellMar>
          <w:top w:w="28" w:type="dxa"/>
          <w:left w:w="28" w:type="dxa"/>
          <w:bottom w:w="28" w:type="dxa"/>
          <w:right w:w="28" w:type="dxa"/>
        </w:tblCellMar>
      </w:tblPr>
      <w:tblGrid>
        <w:gridCol w:w="282"/>
        <w:gridCol w:w="248"/>
        <w:gridCol w:w="250"/>
        <w:gridCol w:w="2762"/>
        <w:gridCol w:w="2762"/>
        <w:gridCol w:w="2771"/>
        <w:gridCol w:w="167"/>
        <w:gridCol w:w="167"/>
        <w:gridCol w:w="237"/>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4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c53bc01c0246209dd2c9dd83a0312c_13">
              <w:r>
                <w:rPr>
                  <w:rStyle w:val="InternetLink"/>
                  <w:rFonts w:ascii="Times New Roman;serif" w:hAnsi="Times New Roman;serif"/>
                  <w:b w:val="false"/>
                  <w:color w:val="0000FF"/>
                  <w:sz w:val="20"/>
                  <w:u w:val="single"/>
                </w:rPr>
                <w:t>PART III.</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16">
              <w:r>
                <w:rPr>
                  <w:rStyle w:val="InternetLink"/>
                  <w:rFonts w:ascii="Times New Roman;serif" w:hAnsi="Times New Roman;serif"/>
                  <w:b w:val="false"/>
                  <w:strike w:val="false"/>
                  <w:dstrike w:val="false"/>
                  <w:color w:val="0000FF"/>
                  <w:sz w:val="20"/>
                  <w:u w:val="none"/>
                  <w:effect w:val="none"/>
                </w:rPr>
                <w:t>Item 10.</w:t>
              </w:r>
            </w:hyperlink>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16">
              <w:r>
                <w:rPr>
                  <w:rStyle w:val="InternetLink"/>
                  <w:rFonts w:ascii="Times New Roman;serif" w:hAnsi="Times New Roman;serif"/>
                  <w:b w:val="false"/>
                  <w:color w:val="0000FF"/>
                  <w:sz w:val="20"/>
                  <w:u w:val="single"/>
                </w:rPr>
                <w:t>Directors, Executive Officers, and Corporate Governance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16">
              <w:r>
                <w:rPr>
                  <w:rStyle w:val="InternetLink"/>
                  <w:rFonts w:ascii="Times New Roman;serif" w:hAnsi="Times New Roman;serif"/>
                  <w:b w:val="false"/>
                  <w:color w:val="0000FF"/>
                  <w:sz w:val="20"/>
                  <w:u w:val="single"/>
                </w:rPr>
                <w:t>3</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28">
              <w:r>
                <w:rPr>
                  <w:rStyle w:val="InternetLink"/>
                  <w:rFonts w:ascii="Times New Roman;serif" w:hAnsi="Times New Roman;serif"/>
                  <w:b w:val="false"/>
                  <w:strike w:val="false"/>
                  <w:dstrike w:val="false"/>
                  <w:color w:val="0000FF"/>
                  <w:sz w:val="20"/>
                  <w:u w:val="none"/>
                  <w:effect w:val="none"/>
                </w:rPr>
                <w:t>Item 11.</w:t>
              </w:r>
            </w:hyperlink>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28">
              <w:r>
                <w:rPr>
                  <w:rStyle w:val="InternetLink"/>
                  <w:rFonts w:ascii="Times New Roman;serif" w:hAnsi="Times New Roman;serif"/>
                  <w:b w:val="false"/>
                  <w:color w:val="0000FF"/>
                  <w:sz w:val="20"/>
                  <w:u w:val="single"/>
                </w:rPr>
                <w:t>Executive Compensation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28">
              <w:r>
                <w:rPr>
                  <w:rStyle w:val="InternetLink"/>
                  <w:rFonts w:ascii="Times New Roman;serif" w:hAnsi="Times New Roman;serif"/>
                  <w:b w:val="false"/>
                  <w:color w:val="0000FF"/>
                  <w:sz w:val="20"/>
                  <w:u w:val="single"/>
                </w:rPr>
                <w:t>10</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37">
              <w:r>
                <w:rPr>
                  <w:rStyle w:val="InternetLink"/>
                  <w:rFonts w:ascii="Times New Roman;serif" w:hAnsi="Times New Roman;serif"/>
                  <w:b w:val="false"/>
                  <w:strike w:val="false"/>
                  <w:dstrike w:val="false"/>
                  <w:color w:val="0000FF"/>
                  <w:sz w:val="20"/>
                  <w:u w:val="none"/>
                  <w:effect w:val="none"/>
                </w:rPr>
                <w:t>Item 12.</w:t>
              </w:r>
            </w:hyperlink>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3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37">
              <w:r>
                <w:rPr>
                  <w:rStyle w:val="InternetLink"/>
                  <w:rFonts w:ascii="Times New Roman;serif" w:hAnsi="Times New Roman;serif"/>
                  <w:b w:val="false"/>
                  <w:color w:val="0000FF"/>
                  <w:sz w:val="20"/>
                  <w:u w:val="single"/>
                </w:rPr>
                <w:t>44</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46">
              <w:r>
                <w:rPr>
                  <w:rStyle w:val="InternetLink"/>
                  <w:rFonts w:ascii="Times New Roman;serif" w:hAnsi="Times New Roman;serif"/>
                  <w:b w:val="false"/>
                  <w:strike w:val="false"/>
                  <w:dstrike w:val="false"/>
                  <w:color w:val="0000FF"/>
                  <w:sz w:val="20"/>
                  <w:u w:val="none"/>
                  <w:effect w:val="none"/>
                </w:rPr>
                <w:t>Item 13.</w:t>
              </w:r>
            </w:hyperlink>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46">
              <w:r>
                <w:rPr>
                  <w:rStyle w:val="InternetLink"/>
                  <w:rFonts w:ascii="Times New Roman;serif" w:hAnsi="Times New Roman;serif"/>
                  <w:b w:val="false"/>
                  <w:color w:val="0000FF"/>
                  <w:sz w:val="20"/>
                  <w:u w:val="single"/>
                </w:rPr>
                <w:t>Certain Relationships and Related Transactions, and Director Independence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46">
              <w:r>
                <w:rPr>
                  <w:rStyle w:val="InternetLink"/>
                  <w:rFonts w:ascii="Times New Roman;serif" w:hAnsi="Times New Roman;serif"/>
                  <w:b w:val="false"/>
                  <w:color w:val="0000FF"/>
                  <w:sz w:val="20"/>
                  <w:u w:val="single"/>
                </w:rPr>
                <w:t>47</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52">
              <w:r>
                <w:rPr>
                  <w:rStyle w:val="InternetLink"/>
                  <w:rFonts w:ascii="Times New Roman;serif" w:hAnsi="Times New Roman;serif"/>
                  <w:b w:val="false"/>
                  <w:strike w:val="false"/>
                  <w:dstrike w:val="false"/>
                  <w:color w:val="0000FF"/>
                  <w:sz w:val="20"/>
                  <w:u w:val="none"/>
                  <w:effect w:val="none"/>
                </w:rPr>
                <w:t>Item 14.</w:t>
              </w:r>
            </w:hyperlink>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52">
              <w:r>
                <w:rPr>
                  <w:rStyle w:val="InternetLink"/>
                  <w:rFonts w:ascii="Times New Roman;serif" w:hAnsi="Times New Roman;serif"/>
                  <w:b w:val="false"/>
                  <w:color w:val="0000FF"/>
                  <w:sz w:val="20"/>
                  <w:u w:val="single"/>
                </w:rPr>
                <w:t>Principal Accountant Fees and Services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52">
              <w:r>
                <w:rPr>
                  <w:rStyle w:val="InternetLink"/>
                  <w:rFonts w:ascii="Times New Roman;serif" w:hAnsi="Times New Roman;serif"/>
                  <w:b w:val="false"/>
                  <w:color w:val="0000FF"/>
                  <w:sz w:val="20"/>
                  <w:u w:val="single"/>
                </w:rPr>
                <w:t>51</w:t>
              </w:r>
            </w:hyperlink>
          </w:p>
        </w:tc>
      </w:tr>
      <w:tr>
        <w:trPr/>
        <w:tc>
          <w:tcPr>
            <w:tcW w:w="964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c53bc01c0246209dd2c9dd83a0312c_58">
              <w:r>
                <w:rPr>
                  <w:rStyle w:val="InternetLink"/>
                  <w:rFonts w:ascii="Times New Roman;serif" w:hAnsi="Times New Roman;serif"/>
                  <w:b w:val="false"/>
                  <w:color w:val="0000FF"/>
                  <w:sz w:val="20"/>
                  <w:u w:val="single"/>
                </w:rPr>
                <w:t>PART IV.</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61">
              <w:r>
                <w:rPr>
                  <w:rStyle w:val="InternetLink"/>
                  <w:rFonts w:ascii="Times New Roman;serif" w:hAnsi="Times New Roman;serif"/>
                  <w:b w:val="false"/>
                  <w:strike w:val="false"/>
                  <w:dstrike w:val="false"/>
                  <w:color w:val="0000FF"/>
                  <w:sz w:val="20"/>
                  <w:u w:val="none"/>
                  <w:effect w:val="none"/>
                </w:rPr>
                <w:t>Item 15.</w:t>
              </w:r>
            </w:hyperlink>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61">
              <w:r>
                <w:rPr>
                  <w:rStyle w:val="InternetLink"/>
                  <w:rFonts w:ascii="Times New Roman;serif" w:hAnsi="Times New Roman;serif"/>
                  <w:b w:val="false"/>
                  <w:color w:val="0000FF"/>
                  <w:sz w:val="20"/>
                  <w:u w:val="single"/>
                </w:rPr>
                <w:t>Exhibits and Financial Statement Schedules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61">
              <w:r>
                <w:rPr>
                  <w:rStyle w:val="InternetLink"/>
                  <w:rFonts w:ascii="Times New Roman;serif" w:hAnsi="Times New Roman;serif"/>
                  <w:b w:val="false"/>
                  <w:color w:val="0000FF"/>
                  <w:sz w:val="20"/>
                  <w:u w:val="single"/>
                </w:rPr>
                <w:t>52</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c53bc01c0246209dd2c9dd83a0312c_67">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ac53bc01c0246209dd2c9dd83a0312c_67">
              <w:r>
                <w:rPr>
                  <w:rStyle w:val="InternetLink"/>
                  <w:rFonts w:ascii="Times New Roman;serif" w:hAnsi="Times New Roman;serif"/>
                  <w:b w:val="false"/>
                  <w:color w:val="0000FF"/>
                  <w:sz w:val="20"/>
                  <w:u w:val="single"/>
                </w:rPr>
                <w:t>56</w:t>
              </w:r>
            </w:hyperlink>
          </w:p>
        </w:tc>
      </w:tr>
    </w:tbl>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DIRECTORS </w:t>
      </w:r>
    </w:p>
    <w:p>
      <w:pPr>
        <w:pStyle w:val="TextBody"/>
        <w:bidi w:val="0"/>
        <w:spacing w:lineRule="auto" w:line="288" w:before="120" w:after="283"/>
        <w:jc w:val="left"/>
        <w:rPr/>
      </w:pPr>
      <w:r>
        <w:rPr>
          <w:rFonts w:ascii="Times New Roman;serif" w:hAnsi="Times New Roman;serif"/>
          <w:b w:val="false"/>
          <w:color w:val="000000"/>
          <w:sz w:val="20"/>
        </w:rPr>
        <w:t>The following table sets forth information regarding our directors as of April 29, 2026</w:t>
      </w:r>
      <w:r>
        <w:rPr>
          <w:rFonts w:ascii="Times New Roman;serif" w:hAnsi="Times New Roman;serif"/>
          <w:b w:val="false"/>
          <w:color w:val="000000"/>
          <w:sz w:val="13"/>
        </w:rPr>
        <w:t>(1)</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0"/>
        <w:gridCol w:w="480"/>
        <w:gridCol w:w="422"/>
        <w:gridCol w:w="109"/>
        <w:gridCol w:w="109"/>
        <w:gridCol w:w="109"/>
        <w:gridCol w:w="185"/>
        <w:gridCol w:w="185"/>
        <w:gridCol w:w="186"/>
        <w:gridCol w:w="109"/>
        <w:gridCol w:w="109"/>
        <w:gridCol w:w="109"/>
        <w:gridCol w:w="145"/>
        <w:gridCol w:w="145"/>
        <w:gridCol w:w="146"/>
        <w:gridCol w:w="109"/>
        <w:gridCol w:w="109"/>
        <w:gridCol w:w="109"/>
        <w:gridCol w:w="532"/>
        <w:gridCol w:w="532"/>
        <w:gridCol w:w="539"/>
        <w:gridCol w:w="109"/>
        <w:gridCol w:w="109"/>
        <w:gridCol w:w="109"/>
        <w:gridCol w:w="326"/>
        <w:gridCol w:w="326"/>
        <w:gridCol w:w="327"/>
        <w:gridCol w:w="109"/>
        <w:gridCol w:w="109"/>
        <w:gridCol w:w="109"/>
        <w:gridCol w:w="388"/>
        <w:gridCol w:w="388"/>
        <w:gridCol w:w="390"/>
        <w:gridCol w:w="109"/>
        <w:gridCol w:w="109"/>
        <w:gridCol w:w="109"/>
        <w:gridCol w:w="555"/>
        <w:gridCol w:w="555"/>
        <w:gridCol w:w="801"/>
      </w:tblGrid>
      <w:tr>
        <w:trPr/>
        <w:tc>
          <w:tcPr>
            <w:tcW w:w="69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Name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Class</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Age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Position</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Director Since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Current Term Expires</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Expiration of Term for Which Nominated</w:t>
            </w:r>
          </w:p>
        </w:tc>
      </w:tr>
      <w:tr>
        <w:trPr/>
        <w:tc>
          <w:tcPr>
            <w:tcW w:w="159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Employee Directors: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3"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Non-Employee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Mathew Arens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Jill Hoggard Green</w:t>
            </w:r>
            <w:r>
              <w:rPr>
                <w:rFonts w:ascii="Times New Roman;serif" w:hAnsi="Times New Roman;serif"/>
                <w:b w:val="false"/>
                <w:color w:val="000000"/>
                <w:sz w:val="13"/>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Kolb</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Julie Larson-Green</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Justin Spencer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89"/>
        <w:gridCol w:w="270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Steven Nelson has been appointed to our Board effective May 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of our audit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of our compensation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of our nominating and corporate governance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On December 1, 2025, the Board determined that it would not renominate Matthew Kolb for election at the Company’s 2026 annual meeting of stockholders and Mr. Kolb then notified the Board that he agreed he would not stand for re-election at the Company’s 2026 annual meeting of stockholders. Mr. Kolb’s term will end immediately prior to the commencement of the 2026 annual meeting of stockholders.</w:t>
            </w:r>
          </w:p>
        </w:tc>
      </w:tr>
    </w:tbl>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 xml:space="preserve">Information Concerning Directors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Benjamin Albert. </w:t>
      </w:r>
      <w:r>
        <w:rPr>
          <w:rFonts w:ascii="Times New Roman;serif" w:hAnsi="Times New Roman;serif"/>
          <w:b w:val="false"/>
          <w:color w:val="000000"/>
          <w:sz w:val="20"/>
        </w:rPr>
        <w:t>Mr. Albert has served as our Chief Executive Officer and a member of our board of directors since February 2026. Mr. Albert has also served as our President and principal operating officer since September 2025. Prior to serving as our Chief Executive Officer, Mr. Albert served as our Chief Operating Officer from September 2025 to February 2026. Mr. Albert joined Health Catalyst in January 2025 through its acquisition of Upfront Healthcare Services, Inc. (“Upfront”), where he served as Chief Executive Officer and Co-Founder since 2016. Prior to launching Upfront, he founded and led Care Team Connect beginning in 2009, a care management platform for providers. Care Team Connect was later acquired by The Advisory Board Company in 2013, and Mr. Albert served as an executive following close of that transaction. Mr. Albert also held various executive-level positions at PatientKeeper, Inc., an electronic health records company, between 2004 and 2009, and Data Harbor, Inc., a technology company, between 1999 and 2004, before both companies were acquired. He also served as an Entrepreneur-In-Residence and Operating Partner within the Strategic Investments Division of Cambia Health Solutions between 2015 to 2016. Mr. Albert holds a BA from Western Michigan University and an MBA from University of Illinois, Chicago.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Mr. Albert is qualified to serve as a member of our board of directors due to his experience as our Chief Executive Officer and his leadership experience in technology and healthcare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pPr>
      <w:r>
        <w:rPr>
          <w:rFonts w:ascii="Times New Roman;serif" w:hAnsi="Times New Roman;serif"/>
          <w:b/>
          <w:i/>
          <w:color w:val="000000"/>
          <w:sz w:val="20"/>
        </w:rPr>
        <w:t xml:space="preserve">Mathew Arens. </w:t>
      </w:r>
      <w:r>
        <w:rPr>
          <w:rFonts w:ascii="Times New Roman;serif" w:hAnsi="Times New Roman;serif"/>
          <w:b w:val="false"/>
          <w:color w:val="000000"/>
          <w:sz w:val="20"/>
        </w:rPr>
        <w:t xml:space="preserve">Mr. Arens has served as a member of our board of directors since December 2025. Mr. Arens is the Chief Executive Officer, Founder and Senior Portfolio Manager of First Light Asset Management, LLC (First Light), which he founded in 2013. Prior to establishing First Light, Mr. Arens was president and senior portfolio manager at Kopp Investment Advisors. While at Kopp Investment Advisors, he served as the sole portfolio manager for the firm’s health care-focused investment strategy. Mr. Arens holds a bachelor of science degree in financial planning from Purdue University.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Mr. Arens is qualified to serve as a member of our board of directors based on his experience as a Senior Portfolio Manager investing in other public and private companies in the health care sector and its industries as well as his knowledge of technology and healthcare businesses.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i/>
          <w:color w:val="000000"/>
          <w:sz w:val="20"/>
        </w:rPr>
        <w:t>Jill Hoggard Green</w:t>
      </w:r>
      <w:r>
        <w:rPr>
          <w:rFonts w:ascii="Times New Roman;serif" w:hAnsi="Times New Roman;serif"/>
          <w:b w:val="false"/>
          <w:color w:val="000000"/>
          <w:sz w:val="20"/>
        </w:rPr>
        <w:t>. Dr. Hoggard Green has served as a member of our board of directors since December 2024. Dr. Hoggard Green currently serves as a trustee and on the executive committees for The Joint Commissions, Joint Commission Resources, and Joint Commission International. Dr. Hoggard Green served as the Chief Executive Officer of Queen’s Health System (QHS) from September 2019 to July 2024. Dr. Hoggard Green also served as Chief Operating Officer of Mission Health from 2011 to 2019 and of PeaceHealth from 2004 to 2011. Dr. Hoggard Green holds a B.S., M.S., and PhD from the University of Utah.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Dr. Hoggard Green is qualified to serve as a member of our board of directors based on her executive leadership experience, including serving as a Chief Executive Officer and Chief Operating Officer of health systems, and her knowledge of the healthcare industry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 xml:space="preserve">Matthew Kolb. </w:t>
      </w:r>
      <w:r>
        <w:rPr>
          <w:rFonts w:ascii="Times New Roman;serif" w:hAnsi="Times New Roman;serif"/>
          <w:b w:val="false"/>
          <w:color w:val="000000"/>
          <w:sz w:val="20"/>
        </w:rPr>
        <w:t>Mr. Kolb has served as a member of our board of directors since July 2023. Since September 2019, Mr. Kolb has served as the Executive Vice President and Chief Operating Officer of Carle Health, a nonprofit health system. From July 2014 to September 2019, Mr. Kolb served in a variety of roles at Carle Health, including Chief Administrative Officer. From August 2007 to July 2014, Mr. Kolb held various positions at Allina Health, a healthcare services company, including Vice President of the Neuroscience Institute. Mr. Kolb holds a B.A. from the University of Illinois at Urbana-Champaign, an M.H.A. from the University of Missouri-Columbia, and a J.D. from the University of Missouri-Columbia, School of Law.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Mr. Kolb is qualified to serve as a member of our board of directors based on his executive leadership experience, including serving as Chief Operating Officer of a health system, and his knowledge of the healthcare industry.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Julie Larson-Green. </w:t>
      </w:r>
      <w:r>
        <w:rPr>
          <w:rFonts w:ascii="Times New Roman;serif" w:hAnsi="Times New Roman;serif"/>
          <w:b w:val="false"/>
          <w:color w:val="000000"/>
          <w:sz w:val="20"/>
        </w:rPr>
        <w:t xml:space="preserve">Ms. Larson-Green has served as a member of our board of directors since January 2020. Since September 2021, Ms. Larson-Green has served as Chief Technology Officer of Magic Leap, Inc., a technology company. Between January 2018 and February 2021, Ms. Larson-Green served as the Chief Experience Officer at Qualtrics International Inc. From 1993 to 2017, she served in a variety of executive leadership and product development roles at Microsoft, including leadership in building Microsoft Office, Windows, Internet Explorer, Xbox, and Surface. She served on the board of directors of View, Inc. from June 2021 until August 2024. Ms. Larson-Green holds a B.A. in Business Administration and Management from Western Washington University and Master’s degree in Computer Software Engineering from Seattle University.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Ms. Larson-Green is qualified to serve as a member of our board of directors based on her executive leadership experience, including Chief Experience Officer of a technology company, and her knowledge of the technology industry.</w:t>
      </w:r>
    </w:p>
    <w:p>
      <w:pPr>
        <w:pStyle w:val="TextBody"/>
        <w:bidi w:val="0"/>
        <w:spacing w:lineRule="auto" w:line="276" w:before="240" w:after="283"/>
        <w:jc w:val="both"/>
        <w:rPr/>
      </w:pPr>
      <w:r>
        <w:rPr>
          <w:rFonts w:ascii="Times New Roman;serif" w:hAnsi="Times New Roman;serif"/>
          <w:b/>
          <w:i/>
          <w:color w:val="000000"/>
          <w:sz w:val="20"/>
        </w:rPr>
        <w:t xml:space="preserve">Justin Spencer. </w:t>
      </w:r>
      <w:r>
        <w:rPr>
          <w:rFonts w:ascii="Times New Roman;serif" w:hAnsi="Times New Roman;serif"/>
          <w:b w:val="false"/>
          <w:color w:val="000000"/>
          <w:sz w:val="20"/>
        </w:rPr>
        <w:t xml:space="preserve">Mr. Spencer has served as a member of our board of directors since September 2025. Mr. Spencer is the Chief Financial Officer of Eko Health Inc. (Eko Health), a technology company, and has worked at Eko Health since December 2024. From July 2021 through June 2024, Mr. Spencer and his wife served as full-time voluntary mission leaders for the Church of Jesus Christ of Latter-day Saints. From August 2014 to June 2021, Mr. Spencer was the Chief Financial Officer of Vocera Communications (Vocera), a healthcare technology company.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joining Vocera, from September 2008 to November 2013, he served as Chief Financial Officer and Executive Vice President of Finance and Administration at Symmetricom Inc., a technology company. From November 2002 to June 2008, Mr. Spencer held various roles at Covad Communications Group (Covad), a broadband and communications company, including Executive Vice President and Chief Financial Officer as well as Vice President of Finance, Corporate Development and Investor Relations.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Between 2016 and 2019, Mr. Spencer also served as a member of the board of directors for iPass Inc., a publicly traded technology company, and served as its Audit Committee Chair and a member of its Compensation Committee. Mr. Spencer holds a Bachelor’s degree in Accounting from the University of Utah and an MBA from The Wharton School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Mr. Spencer is qualified to serve as a member of our board of directors based on his experience as a Chief Financial Officer and director of healthcare technology companies and his knowledge of the healthcare industry.</w:t>
      </w:r>
    </w:p>
    <w:p>
      <w:pPr>
        <w:pStyle w:val="TextBody"/>
        <w:bidi w:val="0"/>
        <w:spacing w:before="0" w:after="0"/>
        <w:jc w:val="both"/>
        <w:rPr/>
      </w:pPr>
      <w:r>
        <w:rPr/>
      </w:r>
    </w:p>
    <w:p>
      <w:pPr>
        <w:pStyle w:val="TextBody"/>
        <w:bidi w:val="0"/>
        <w:spacing w:before="0" w:after="0"/>
        <w:jc w:val="left"/>
        <w:rPr/>
      </w:pPr>
      <w:r>
        <w:rPr/>
      </w:r>
    </w:p>
    <w:p>
      <w:pPr>
        <w:pStyle w:val="TextBody"/>
        <w:bidi w:val="0"/>
        <w:spacing w:before="240" w:after="283"/>
        <w:jc w:val="both"/>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EXECUTIVE OFFICERS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our executive officers as of April 29, 2026:</w:t>
      </w:r>
    </w:p>
    <w:tbl>
      <w:tblPr>
        <w:tblW w:w="5844" w:type="dxa"/>
        <w:jc w:val="left"/>
        <w:tblInd w:w="0" w:type="dxa"/>
        <w:tblLayout w:type="fixed"/>
        <w:tblCellMar>
          <w:top w:w="28" w:type="dxa"/>
          <w:left w:w="28" w:type="dxa"/>
          <w:bottom w:w="28" w:type="dxa"/>
          <w:right w:w="28" w:type="dxa"/>
        </w:tblCellMar>
      </w:tblPr>
      <w:tblGrid>
        <w:gridCol w:w="569"/>
        <w:gridCol w:w="500"/>
        <w:gridCol w:w="505"/>
        <w:gridCol w:w="109"/>
        <w:gridCol w:w="109"/>
        <w:gridCol w:w="109"/>
        <w:gridCol w:w="165"/>
        <w:gridCol w:w="165"/>
        <w:gridCol w:w="166"/>
        <w:gridCol w:w="109"/>
        <w:gridCol w:w="109"/>
        <w:gridCol w:w="109"/>
        <w:gridCol w:w="912"/>
        <w:gridCol w:w="912"/>
        <w:gridCol w:w="1296"/>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Name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Age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Position(s)</w:t>
            </w:r>
          </w:p>
        </w:tc>
      </w:tr>
      <w:tr>
        <w:trPr/>
        <w:tc>
          <w:tcPr>
            <w:tcW w:w="157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Linda Llewelyn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People Officer</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Linda Llewelyn will cease to serve as Chief People Officer effective June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February 12, 2026, the Board of Directors of Health Catalyst, Inc. appointed Benjamin Albert to succeed Mr. Burton as the Company’s Chief Executive Officer and principal executive officer, effective February 12, 2026. Mr. Albert stepped down as the Company’s Chief Operating Officer effective February 12, 2026. Previously, in connection with Mr. Albert’s appointment to President, Chief Operating Officer and principal operating officer effective September 16, 2025, Dan LeSueur ceased serving as Chief Operating Officer and principal operating officer of the Company, effective September 15, 2025. The company and Mr. LeSueur entered into an independent contractor agreement pursuant to which Mr. LeSueur served as a senior advisor until March 15,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20, 2026, the Board of Directors of Health Catalyst, Inc. determined that Kevin Freeman would cease to serve as the Chief Commercial Officer of the Company on February 1, 2026. The Company and Mr. Freeman entered into a separation agreement and an independent contractor agreement pursuant to which Mr. Freeman is serving as a senior advisor from February 2, 2026 until December 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Information Concerning Executive Officers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biographical information is furnished with respect to our executive officers (except for Mr. Albert, whose biographical information appears above under “Information Concerning Director”):</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i/>
          <w:color w:val="000000"/>
          <w:sz w:val="20"/>
        </w:rPr>
        <w:t>Jason Alger</w:t>
      </w:r>
      <w:r>
        <w:rPr>
          <w:rFonts w:ascii="Times New Roman;serif" w:hAnsi="Times New Roman;serif"/>
          <w:b w:val="false"/>
          <w:color w:val="000000"/>
          <w:sz w:val="20"/>
        </w:rPr>
        <w:t>. Mr. Alger has served as our Chief Financial Officer since March 2024. Previously, Mr. Alger served as our Chief Accounting Officer from January 2021 to March 2024. Mr. Alger has also served as our Senior Vice President of Finance from September 2017 to December 2020, and as Controller from April 2013 to September 2017. Prior to that, Mr. Alger served in the assurance practice of Ernst &amp; Young LLP. Mr. Alger is a certified public accountant and holds a M.Acc. from Brigham Young University.</w:t>
      </w:r>
    </w:p>
    <w:p>
      <w:pPr>
        <w:pStyle w:val="TextBody"/>
        <w:bidi w:val="0"/>
        <w:spacing w:lineRule="auto" w:line="276" w:before="0" w:after="240"/>
        <w:jc w:val="both"/>
        <w:rPr/>
      </w:pPr>
      <w:r>
        <w:rPr>
          <w:rFonts w:ascii="Times New Roman;serif" w:hAnsi="Times New Roman;serif"/>
          <w:b w:val="false"/>
          <w:i/>
          <w:color w:val="000000"/>
          <w:sz w:val="20"/>
        </w:rPr>
        <w:t xml:space="preserve">Benjamin Landry. </w:t>
      </w:r>
      <w:r>
        <w:rPr>
          <w:rFonts w:ascii="Times New Roman;serif" w:hAnsi="Times New Roman;serif"/>
          <w:b w:val="false"/>
          <w:color w:val="000000"/>
          <w:sz w:val="20"/>
        </w:rPr>
        <w:t>Mr. Landry has served as our General Counsel and Corporate Secretary since May 2023. Previously, Mr. Landry served as our Assistant General Counsel from July 2019 to April 2023. From April 2015 to July 2019, Mr. Landry served in a variety of legal roles at athenahealth, Inc., including as Associate General Counsel. Prior to that, Mr. Landry was an associate at Nixon Peabody LLP from February 2011 to April 2015. Mr. Landry holds a B.A. in English from Boston College and a J.D. from Northeastern University School of Law.</w:t>
      </w:r>
    </w:p>
    <w:p>
      <w:pPr>
        <w:pStyle w:val="TextBody"/>
        <w:bidi w:val="0"/>
        <w:spacing w:lineRule="auto" w:line="276" w:before="0" w:after="240"/>
        <w:jc w:val="both"/>
        <w:rPr/>
      </w:pPr>
      <w:r>
        <w:rPr>
          <w:rFonts w:ascii="Times New Roman;serif" w:hAnsi="Times New Roman;serif"/>
          <w:b w:val="false"/>
          <w:i/>
          <w:color w:val="000000"/>
          <w:sz w:val="20"/>
        </w:rPr>
        <w:t>Linda Llewelyn</w:t>
      </w:r>
      <w:r>
        <w:rPr>
          <w:rFonts w:ascii="Times New Roman;serif" w:hAnsi="Times New Roman;serif"/>
          <w:b w:val="false"/>
          <w:color w:val="000000"/>
          <w:sz w:val="20"/>
        </w:rPr>
        <w:t>. Ms. Llewelyn has served as our Chief People Officer since February 2018. From August 2015 to February 2018, Ms. Llewelyn served as our Vice President - Human Resources. Prior to that, Ms. Llewelyn served as a Human Resources Director from January 2014 to August 2015 and as a Human Resources Manager from June 2013 to January 2014. Ms. Llewelyn holds a B.S. from the University of Utah.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CORPORATE GOVERNANCE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Code of Conduct </w:t>
      </w:r>
    </w:p>
    <w:p>
      <w:pPr>
        <w:pStyle w:val="TextBody"/>
        <w:bidi w:val="0"/>
        <w:spacing w:lineRule="auto" w:line="288" w:before="120" w:after="283"/>
        <w:jc w:val="both"/>
        <w:rPr/>
      </w:pPr>
      <w:r>
        <w:rPr>
          <w:rFonts w:ascii="Times New Roman;serif" w:hAnsi="Times New Roman;serif"/>
          <w:b w:val="false"/>
          <w:color w:val="000000"/>
          <w:sz w:val="20"/>
        </w:rPr>
        <w:t xml:space="preserve">Our board has adopted a code of conduct that applies to all of our employees, officers, and directors, including our Chief Executive Officer, Chief Financial Officer, and other executive and senior financial officers. The full text of our code of conduct is available on our investor relations website at https://ir.healthcatalyst.com/corporate-governance/governance-overview. We intend to satisfy the disclosure requirement under Item 5.05 of Form 8-K regarding amendments to, or waiver from, a provision of our code of conduct by posting such information on the website address and location specified above.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no waivers were granted from any provision of the code of conduct. </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trading in our securities by our directors, officers, employees and consultants that is designed to promote compliance with insider trading laws, rules and regulations, and applicable Nasdaq listing standards, as well as procedures designed to further the foregoing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insider trading policy provides that our directors, officers, employees and consultants may not trade any of our securities while in possession of material, non-public information (MNPI) relating to such security. In addition, our insider trading policy prohibits trading any of our securities during specified restricted periods that generally begin at the close of business on the fifteenth day of the last month of each fiscal quarter and end at the start of the second full trading day following the date of public disclosure of the financial results for the related fiscal quarter. There are limited exceptions to these restricted trading periods, such as certain exercises of stock options or trades made pursuant to an established plan intended to satisfy the affirmative defense conditions of Rule 10b5-1(c) of the Exchange Act. Our insider trading policy includes restrictions regarding direct or indirect communications of MNPI to anyone outside the Company. Our insider trading policy also prohibits all covered persons from engaging in derivative securities transactions, including hedging, with respect to our securities and from pledging our securities as collateral for a loan or holding our securities in a margin account.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our insider trading policy is not complete and is qualified by reference to our full insider trading policy, a copy of which can be found as an exhibit to our Original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Committees of Our Board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has established an audit committee, a compensation committee, and a nominating and corporate governance committee. The composition and responsibilities of each of the committees of our board is described below. Members serve on these committees until their resignation or until as otherwise determined by our board. Each of the audit, compensation, and nominating and corporate governance committees operates pursuant to a separate written charter adopted by our board that is available to stockholders at https://ir.healthcatalyst.com/corporate-governance/governance-overview/.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Audit Committee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2025 to February 17, 2026, our audit committee consisted of Messrs. Kane and Gallagher and Ms. Smith, with Mr. Kane serving as the Chair, and from February 17, 2026 to April 1, 2026, our audit committee consisted of Messrs. Kane and Spencer and Ms. Larson-Green, with Mr. Kane serving as Chair. From April 1, 2026, our audit committee consists of Mr. Spencer and Mses. Hoggard Green and Larson-Green, with Mr. Spencer serving as Chair. The composition of our audit committee met and meets the requirements for independence under current Nasdaq listing standards and SEC rules and regulations. Each member of our audit committee met and meets the financial literacy requirements of the Nasdaq listing standards. In addition, our board has determined that Mr. Kane was and Mr. Spencer is an audit committee financial expert within the meaning of Item 407(d) of Regulation S-K under the Securities Act of 1933, as amended (the Securities Act). Our audit committee,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90"/>
        <w:gridCol w:w="2658"/>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selects a qualified firm to serve as the independent registered public accounting firm to audit our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discusses the scope and results of the audit with the independent registered public accounting firm, and reviews, with our management team and the independent registered public accounting firm, our interim and year-end results of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develops procedures for employees to submit concerns anonymously about questionable accounting or audit matters;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our policies on risk assessment and risk management;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proposed related party transactions;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obtains and reviews a report by the independent registered public accounting firm, at least annually, that describes its internal quality-control procedures, any material issues with such procedures, and any steps taken to deal with such issues when required by applicable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approves (or, as permitted, pre-approves) all audit and all permissible non-audit services, other than de minimis non-audit services, to be performed by the independent registered public accounting firm;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cybersecurity risk.</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annually reviews the independent registered public accounting firm’s performance and independence, including reviewing all relationships between the independent registered public accounting firm and us and any disclosed relationships or services that may impact the objectivity and independence of the independent registered public accounting firm.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Compensation Committee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consists of Mses. Hoggard Green and Larson-Green, with Ms. Larson-Green serving as Chair, and additionally included Ms. Pramoda for fiscal 2025 through March 1, 2025. The composition of our compensation committee met and meets the requirements for independence under the Nasdaq listing standards and SEC rules and regulations. Each member of our compensation committee is also a non-employee director, as defined pursuant to Rule 16b-3 promulgated under the Exchange Act. The purpose of our compensation committee is to discharge the responsibilities of our board relating to compensation of our executive officers. Our compensation committee, among other things: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approves, and determines, or makes recommendations to our board regarding, the compensation of our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administers our equity incentive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and approves, or make recommendations to our board regarding, incentive compensation and equity plans;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establishes and reviews general policies relating to the compensation and benefits offered to our employees.</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or compensation committee.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Nominating and Corporate Governance Committee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2025 to February 17, 2026, our nominating and corporate governance committee consisted of Messrs. Gallagher and Kane, with Mr. Gallagher serving as the Chair, and from February 17, 2026 to April 1, 2026, our nominating and corporate governance committee consisted of Mr. Arens and Ms. Hoggard Green, with Mr. Arens serving as Chair. From April 1, 2026, our nominating and corporate governance committee consists of Mr. Arens and Ms. Hoggard Green, with Mr. Arens serving as Chair. The composition of our nominating and corporate governance committee met and meets the requirements for independence under the Nasdaq listing standards and SEC rules and regulations. Our nominating and corporate governance committee, among other things: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identifies, evaluates, and selects, or makes recommendations to our board regarding, nominees for election to our board and its committees;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evaluates the performance of our board and of its committees;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oversees director education and training;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considers and makes recommendations to our board regarding the composition of our board and its committees;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developments in corporate governance practices;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evaluates the adequacy of our corporate governance practices and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review and discuss with our Board corporate succession plans for our Chief Executive Officer and our other key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with management the impact of our business operations and business practices with respect to issues such as environment, diversity and inclusion, corporate citizenship, and community involvement;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develops and makes recommendations to our board regarding corporate governance guidelines.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Award Timing Policies and Practices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have not granted any stock options to NEOs in 2025, grants of options to purchase our common stock, including for our NEOs, are generally based upon a predetermined schedule each year as a part of the annual compensation process described in the “Long-Term Equity Incentive” section above. If annual long-term incentive compensation is determined to be appropriate, our board, the compensation committee or applicable designee approves any annual grants of equity awards, which can include stock options, for continuing team members in the first fiscal quarter commensurate with the prescheduled board and committee meetings. The grant dates of stock options are generally selected so as not to be within a short period of time, as described in the SEC’s Staff Accounting Bulletin 120 (SAB 120), prior to the release of MNPI such as on Forms 8-K, 10-Q or 10-K. Grants of stock options may occur at other times during the year due to business needs, such as for a newly hired team members or officers or newly appointed board members, though our current compensation program does not include stock options. The board, compensation committee or applicable designee does not anticipate the timing of disclosure of MNPI when determining the timing and terms of such awards, and we do not time the release of MNPI for the purpose of affecting the value of executive compensation. Exercise prices of stock options are based on the closing price of the underlying common stock on the grant date, subject to the applicable rules for non-qualified stock options and incentive stock options under our equity plan. Vesting dates for stock options typically follow a standard monthly cadence and would not be timed to anticipate the release of MNPI.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grants of options to our NEOs within four business days before or one business day after the release of MNPI on Forms 8-K, 10-Q or 10-K in 2025. As such, no table of such option grants is presented under Item 402(x) of Regulation S-K.</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directors and executive officers, and persons who own more than 10% of a registered class of our equity securities, to file reports of ownership on Form 3 and changes in ownership on Form 4 or 5 with the SEC and the Nasdaq. Such executive officers, directors and stockholders also are required by SEC rules to furnish us with copies of all Section 16(a) forms that they file.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Based solely on our review of the copies of such reports furnished to us and written representations that no other reports were required to be filed during fiscal </w:t>
      </w:r>
      <w:r>
        <w:rPr>
          <w:rFonts w:ascii="Times New Roman;serif" w:hAnsi="Times New Roman;serif"/>
          <w:b w:val="false"/>
          <w:color w:val="242424"/>
          <w:sz w:val="20"/>
          <w:shd w:fill="FFFFFF" w:val="clear"/>
        </w:rPr>
        <w:t>2025</w:t>
      </w:r>
      <w:r>
        <w:rPr>
          <w:rFonts w:ascii="Times New Roman;serif" w:hAnsi="Times New Roman;serif"/>
          <w:b w:val="false"/>
          <w:color w:val="000000"/>
          <w:sz w:val="20"/>
          <w:shd w:fill="FFFFFF" w:val="clear"/>
        </w:rPr>
        <w:t>, we are not aware of any late Section 16(a) filings, except for one late report on Form 4 for each of Messrs. Landry and Gallagher and two late reports on Form 4 for each of Ms. Larson-Green and Mr. LeSueur, in all cases due to an inadvertent administrative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11. Executive Compensation - Compensation Discussion and Analysis</w:t>
      </w:r>
    </w:p>
    <w:p>
      <w:pPr>
        <w:pStyle w:val="TextBody"/>
        <w:bidi w:val="0"/>
        <w:spacing w:before="0" w:after="0"/>
        <w:jc w:val="both"/>
        <w:rPr/>
      </w:pPr>
      <w:r>
        <w:rPr/>
      </w:r>
    </w:p>
    <w:p>
      <w:pPr>
        <w:pStyle w:val="TextBody"/>
        <w:bidi w:val="0"/>
        <w:spacing w:lineRule="auto" w:line="333" w:before="0" w:after="18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283"/>
        <w:jc w:val="left"/>
        <w:rPr/>
      </w:pPr>
      <w:r>
        <w:rPr>
          <w:rFonts w:ascii="Times New Roman;serif" w:hAnsi="Times New Roman;serif"/>
          <w:b w:val="false"/>
          <w:color w:val="000000"/>
          <w:sz w:val="20"/>
        </w:rPr>
        <w:t xml:space="preserve">The following Compensation Discussion and Analysis describes our executive compensation program and the decisions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regarding the compensation for:</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5"/>
        <w:gridCol w:w="2365"/>
        <w:gridCol w:w="33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Daniel Burton, our former Chief Executive Officer</w:t>
            </w:r>
            <w:r>
              <w:rPr>
                <w:rFonts w:ascii="Times New Roman;serif" w:hAnsi="Times New Roman;serif"/>
                <w:b w:val="false"/>
                <w:color w:val="000000"/>
                <w:sz w:val="13"/>
              </w:rPr>
              <w:t>(1)</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Alger, our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Benjamin Albert, our Chief Executive Officer and President, and former Chief Operating Officer</w:t>
            </w:r>
            <w:r>
              <w:rPr>
                <w:rFonts w:ascii="Times New Roman;serif" w:hAnsi="Times New Roman;serif"/>
                <w:b w:val="false"/>
                <w:color w:val="000000"/>
                <w:sz w:val="13"/>
              </w:rPr>
              <w:t>(2)</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 our former Chief Commercial Officer</w:t>
            </w:r>
            <w:r>
              <w:rPr>
                <w:rFonts w:ascii="Times New Roman;serif" w:hAnsi="Times New Roman;serif"/>
                <w:b w:val="false"/>
                <w:color w:val="000000"/>
                <w:sz w:val="13"/>
              </w:rPr>
              <w:t>(3)</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Landry, our 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 LeSueur, our former Chief Operating Officer</w:t>
            </w:r>
            <w:r>
              <w:rPr>
                <w:rFonts w:ascii="Times New Roman;serif" w:hAnsi="Times New Roman;serif"/>
                <w:b w:val="false"/>
                <w:color w:val="000000"/>
                <w:sz w:val="13"/>
              </w:rPr>
              <w:t>(4)</w:t>
            </w: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13"/>
        <w:gridCol w:w="2831"/>
        <w:gridCol w:w="4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Effective February 12, 2026, Mr. Burton retired as Chief Executive Officer and principal executive officer.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Albert was appointed as our President, Chief Operating Officer and principal operating officer on September 16, 2025. On February 12, 2026, our Board appointed Mr. Albert to succeed Mr. Burton as the Company’s Chief Executive Officer and principal executive officer, effective February 12, 2026. Mr. Albert stepped down as the Company’s Chief Operating Officer effective February 12, 2026. Mr. Albert joined the company in January 2025 as part of the Upfront Healthcare Services acquisition.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On January 20, 2026, our Board determined that Mr. Freeman would cease to serve as the Chief Commercial Officer of the Company on February 1, 2026. The Company and Mr. Freeman entered into a separation agreement and an independent contractor agreement pursuant to which Mr. Freeman would serve as a senior advisor from February 2, 2026 until December 1, 2026.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LeSueur ceased serving as Chief Operating Officer and principal operating officer of the Company, effective September 15, 2025. The Company and Mr. LeSueur entered into a separation agreement and an independent contractor agreement pursuant to which Mr. LeSueur would serve as an advisor for a brief period of time. Mr. LeSueur’s cessation of serving as Chief Operating Officer and principal operating officer of the Company is not the result of any disagreement or conflict with the Company. The Company and Mr. LeSueur entered into an independent contractor agreement pursuant to which Mr. LeSueur served as a senior advisor until March 15, 2026.</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refer to these executive officers collectively in this Compensation Discussion and Analysis and the accompanying compensation tables as the named executive officers (NEOs).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This Compensation Discussion and Analysis provides an overview of our executive compensation philosophy, the overall objectives of our executive compensation program, and each element of compensation that we provide. In addition, we explain how and why our compensation committee arrived at the specific compensation policies and decisions involving our named executive officers during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contains forward-looking statements that are based on our current plans, considerations, expectations, and determinations regarding future compensation plans and arrangements. The actual compensation plans and arrangements that we adopt may differ materially from currently anticipated plans and arrangements as summarized in this Compensation Discussion and Analysis.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 xml:space="preserve">Highlights of 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Executive Compensation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Consistent with our performance and compensation objectives for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took the following key actions relating to the compensation of our named executive officers for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Base Salaries </w:t>
      </w:r>
      <w:r>
        <w:rPr>
          <w:color w:val="000000"/>
        </w:rPr>
        <w:t xml:space="preserve">– </w:t>
      </w:r>
      <w:r>
        <w:rPr>
          <w:rFonts w:ascii="Times New Roman;serif" w:hAnsi="Times New Roman;serif"/>
          <w:b w:val="false"/>
          <w:color w:val="000000"/>
          <w:sz w:val="20"/>
        </w:rPr>
        <w:t xml:space="preserve">Base salaries for our named executive officers were reviewed in light of salary market data, local market conditions, and company and individual performance, some of which were informed by our engagement of an independent compensation consultant, Aon. Consistent with these considerations and review, there were base salary increases for Mr. Albert, Mr. Alger, and Mr. Freeman in fiscal </w:t>
      </w:r>
      <w:r>
        <w:rPr>
          <w:rFonts w:ascii="Times New Roman;serif" w:hAnsi="Times New Roman;serif"/>
          <w:b w:val="false"/>
          <w:color w:val="242424"/>
          <w:sz w:val="20"/>
        </w:rPr>
        <w:t>2025 generally aligned with benchmarking performed by our compensation consultant</w:t>
      </w:r>
      <w:r>
        <w:rPr>
          <w:rFonts w:ascii="Times New Roman;serif" w:hAnsi="Times New Roman;serif"/>
          <w:b w:val="false"/>
          <w:color w:val="000000"/>
          <w:sz w:val="20"/>
        </w:rPr>
        <w:t>. Mr. Albert’s salary was increased in connection with his promotion to Chief Operating Officer and President in September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Annual Performance-Based Incentives </w:t>
      </w:r>
      <w:r>
        <w:rPr>
          <w:color w:val="000000"/>
        </w:rPr>
        <w:t xml:space="preserve">– </w:t>
      </w:r>
      <w:r>
        <w:rPr>
          <w:rFonts w:ascii="Times New Roman;serif" w:hAnsi="Times New Roman;serif"/>
          <w:b w:val="false"/>
          <w:color w:val="000000"/>
          <w:sz w:val="20"/>
        </w:rPr>
        <w:t xml:space="preserve">In February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approved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that retained many of the same characteristics and metrics as the 2024 Bonus Plan, but 100% of the 2025 Bonus Plan target for all eligible team members were paid through PRSUs, based on selected company performance objectives similar to those in place for fiscal 2024. The bonus pool achievement and payout was capped at 100%.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Long-Term Incentive Compensation</w:t>
      </w:r>
      <w:r>
        <w:rPr>
          <w:color w:val="000000"/>
        </w:rPr>
        <w:t xml:space="preserve"> – </w:t>
      </w:r>
      <w:r>
        <w:rPr>
          <w:rFonts w:ascii="Times New Roman;serif" w:hAnsi="Times New Roman;serif"/>
          <w:b w:val="false"/>
          <w:color w:val="000000"/>
          <w:sz w:val="20"/>
        </w:rPr>
        <w:t xml:space="preserve">We granted long-term incentive compensation in the form of service-based vesting RSUs that may be settled for shares of our common stock to align the long-term incentive opportunities of all of our eligible team members, including our named executive officers, with the interests of our stockholders.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order to further align the interests of our named executive officers with our long-term growth and interests of our stockholders, in February </w:t>
      </w:r>
      <w:r>
        <w:rPr>
          <w:rFonts w:ascii="Times New Roman;serif" w:hAnsi="Times New Roman;serif"/>
          <w:b w:val="false"/>
          <w:color w:val="242424"/>
          <w:sz w:val="20"/>
        </w:rPr>
        <w:t>2025, each</w:t>
      </w:r>
      <w:r>
        <w:rPr>
          <w:color w:val="000000"/>
        </w:rPr>
        <w:t xml:space="preserve"> </w:t>
      </w:r>
      <w:r>
        <w:rPr>
          <w:rFonts w:ascii="Times New Roman;serif" w:hAnsi="Times New Roman;serif"/>
          <w:b w:val="false"/>
          <w:color w:val="000000"/>
          <w:sz w:val="20"/>
        </w:rPr>
        <w:t xml:space="preserve">named executive officer, with the exception of Mr. Albert who received executive PRSUs upon his appointment to President and Chief Operating Officer effective September 16, 2025, was granted executive PRSUs with a three-year measurement period that includes performance targets for Total Shareholder Return (TSR) Achievement (weighted 25%), Revenue Growth Rate Achievement (weighted 25%), and Adjusted EBITDA Margin Achievement (weighted 50%), as part of their typical, annual long-term incentive plan (LTIP) equity grants. These PRSUs may vest in an amount up to the amount granted, subject to satisfaction of the performance targets. The number of PRSUs that will vest for the </w:t>
      </w:r>
      <w:r>
        <w:rPr>
          <w:rFonts w:ascii="Times New Roman;serif" w:hAnsi="Times New Roman;serif"/>
          <w:b w:val="false"/>
          <w:color w:val="242424"/>
          <w:sz w:val="20"/>
        </w:rPr>
        <w:t>2025</w:t>
      </w:r>
      <w:r>
        <w:rPr>
          <w:rFonts w:ascii="Times New Roman;serif" w:hAnsi="Times New Roman;serif"/>
          <w:b w:val="false"/>
          <w:color w:val="000000"/>
          <w:sz w:val="20"/>
        </w:rPr>
        <w:t xml:space="preserve">, 2026, and 2027 vesting periods will be calculated as follows: (i) the performance achievement for the applicable vesting period, multiplied by (ii) approximately 33.33% of the PRSUs for each of the </w:t>
      </w:r>
      <w:r>
        <w:rPr>
          <w:rFonts w:ascii="Times New Roman;serif" w:hAnsi="Times New Roman;serif"/>
          <w:b w:val="false"/>
          <w:color w:val="242424"/>
          <w:sz w:val="20"/>
        </w:rPr>
        <w:t>2025</w:t>
      </w:r>
      <w:r>
        <w:rPr>
          <w:rFonts w:ascii="Times New Roman;serif" w:hAnsi="Times New Roman;serif"/>
          <w:b w:val="false"/>
          <w:color w:val="000000"/>
          <w:sz w:val="20"/>
        </w:rPr>
        <w:t>, 2026, and 2027 vesting periods, each rounded to the nearest whole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grant date fair values of these equity awards are set forth in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Summary Compensation Table” and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Grants of Plan-Based Awards Table” below.</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color w:val="000000"/>
          <w:sz w:val="20"/>
        </w:rPr>
        <w:t xml:space="preserve">Fiscal </w:t>
      </w: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Target Compensation Mix</w:t>
      </w:r>
      <w:r>
        <w:rPr>
          <w:color w:val="000000"/>
        </w:rPr>
        <w:t xml:space="preserve"> – </w:t>
      </w:r>
      <w:r>
        <w:rPr>
          <w:rFonts w:ascii="Times New Roman;serif" w:hAnsi="Times New Roman;serif"/>
          <w:b w:val="false"/>
          <w:color w:val="000000"/>
          <w:sz w:val="20"/>
        </w:rPr>
        <w:t xml:space="preserve">As shown in the graphics below, approximately 87% of the target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compensation for our CEO and, on average, 82% of the target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compensation for the other named executive officers was at risk (i.e., variable) based on our performance, our stock price, or a combination of the two. The percentages for the PRSUs and RSUs below are calculated based on the grant date fair value assuming target achievement of performance measures.</w:t>
      </w:r>
    </w:p>
    <w:p>
      <w:pPr>
        <w:pStyle w:val="TextBody"/>
        <w:bidi w:val="0"/>
        <w:spacing w:before="0" w:after="0"/>
        <w:jc w:val="both"/>
        <w:rPr/>
      </w:pPr>
      <w:r>
        <w:rPr/>
      </w:r>
    </w:p>
    <w:tbl>
      <w:tblPr>
        <w:tblW w:w="2594" w:type="dxa"/>
        <w:jc w:val="left"/>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 Target Compensation Mix</w:t>
            </w:r>
          </w:p>
        </w:tc>
      </w:tr>
    </w:tbl>
    <w:p>
      <w:pPr>
        <w:pStyle w:val="TextBody"/>
        <w:bidi w:val="0"/>
        <w:spacing w:before="0" w:after="0"/>
        <w:jc w:val="center"/>
        <w:rPr/>
      </w:pPr>
      <w:r>
        <w:rPr/>
        <w:drawing>
          <wp:inline distT="0" distB="0" distL="0" distR="0">
            <wp:extent cx="3171825" cy="2371725"/>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3171825" cy="2371725"/>
                    </a:xfrm>
                    <a:prstGeom prst="rect">
                      <a:avLst/>
                    </a:prstGeom>
                  </pic:spPr>
                </pic:pic>
              </a:graphicData>
            </a:graphic>
          </wp:inline>
        </w:drawing>
      </w:r>
      <w:bookmarkStart w:id="0" w:name="i-1"/>
      <w:bookmarkEnd w:id="0"/>
      <w:r>
        <w:rPr/>
        <w:drawing>
          <wp:inline distT="0" distB="0" distL="0" distR="0">
            <wp:extent cx="3152775" cy="237172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3152775" cy="2371725"/>
                    </a:xfrm>
                    <a:prstGeom prst="rect">
                      <a:avLst/>
                    </a:prstGeom>
                  </pic:spPr>
                </pic:pic>
              </a:graphicData>
            </a:graphic>
          </wp:inline>
        </w:drawing>
      </w:r>
      <w:bookmarkStart w:id="1" w:name="i-2"/>
      <w:bookmarkEnd w:id="1"/>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Total PRSUs in the chart above include the executive PRSUs with a three-year measurement period that includes performance targets for TSR Achievement, Revenue Growth Rate Achievement, and Adjusted EBITDA Margin Achievement that are granted as part of their typical, annual LTIP equity grants, all as further described below and valued based upon target and share price at the time of grant.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2594" w:type="dxa"/>
        <w:jc w:val="center"/>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 Actual Compensation Mix</w:t>
            </w:r>
          </w:p>
        </w:tc>
      </w:tr>
    </w:tbl>
    <w:p>
      <w:pPr>
        <w:pStyle w:val="TextBody"/>
        <w:bidi w:val="0"/>
        <w:spacing w:before="0" w:after="0"/>
        <w:jc w:val="center"/>
        <w:rPr/>
      </w:pPr>
      <w:r>
        <w:rPr/>
        <w:drawing>
          <wp:inline distT="0" distB="0" distL="0" distR="0">
            <wp:extent cx="3019425" cy="237172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3019425" cy="2371725"/>
                    </a:xfrm>
                    <a:prstGeom prst="rect">
                      <a:avLst/>
                    </a:prstGeom>
                  </pic:spPr>
                </pic:pic>
              </a:graphicData>
            </a:graphic>
          </wp:inline>
        </w:drawing>
      </w:r>
      <w:bookmarkStart w:id="2" w:name="i-3"/>
      <w:bookmarkEnd w:id="2"/>
      <w:r>
        <w:rPr/>
        <w:drawing>
          <wp:inline distT="0" distB="0" distL="0" distR="0">
            <wp:extent cx="2905125" cy="23717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2905125" cy="2371725"/>
                    </a:xfrm>
                    <a:prstGeom prst="rect">
                      <a:avLst/>
                    </a:prstGeom>
                  </pic:spPr>
                </pic:pic>
              </a:graphicData>
            </a:graphic>
          </wp:inline>
        </w:drawing>
      </w:r>
      <w:bookmarkStart w:id="3" w:name="i-4"/>
      <w:bookmarkEnd w:id="3"/>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both"/>
        <w:rPr/>
      </w:pPr>
      <w:r>
        <w:rPr>
          <w:rFonts w:ascii="Times New Roman;serif" w:hAnsi="Times New Roman;serif"/>
          <w:b w:val="false"/>
          <w:i/>
          <w:color w:val="000000"/>
          <w:sz w:val="16"/>
        </w:rPr>
        <w:t xml:space="preserve">The average named executive officer’s base salary and cash bonus amounts presented in the chart above are based on the actual amounts paid out for fiscal </w:t>
      </w:r>
      <w:r>
        <w:rPr>
          <w:rFonts w:ascii="Times New Roman;serif" w:hAnsi="Times New Roman;serif"/>
          <w:b w:val="false"/>
          <w:i/>
          <w:color w:val="242424"/>
          <w:sz w:val="16"/>
        </w:rPr>
        <w:t>2025</w:t>
      </w:r>
      <w:r>
        <w:rPr>
          <w:rFonts w:ascii="Times New Roman;serif" w:hAnsi="Times New Roman;serif"/>
          <w:b w:val="false"/>
          <w:i/>
          <w:color w:val="000000"/>
          <w:sz w:val="16"/>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6"/>
        </w:rPr>
        <w:t xml:space="preserve">Total PRSUs presented in the chart above represent the estimated December 31, 2025 fair value of the amounts granted in fiscal </w:t>
      </w:r>
      <w:r>
        <w:rPr>
          <w:rFonts w:ascii="Times New Roman;serif" w:hAnsi="Times New Roman;serif"/>
          <w:b w:val="false"/>
          <w:i/>
          <w:color w:val="242424"/>
          <w:sz w:val="16"/>
        </w:rPr>
        <w:t>2025</w:t>
      </w:r>
      <w:r>
        <w:rPr>
          <w:color w:val="000000"/>
        </w:rPr>
        <w:t xml:space="preserve"> </w:t>
      </w:r>
      <w:r>
        <w:rPr>
          <w:rFonts w:ascii="Times New Roman;serif" w:hAnsi="Times New Roman;serif"/>
          <w:b w:val="false"/>
          <w:i/>
          <w:color w:val="000000"/>
          <w:sz w:val="16"/>
        </w:rPr>
        <w:t xml:space="preserve">that were outstanding as of December 31, 2025. The actual long-term RSU amount in the chart above was calculated as the fair value as of the vesting date for RSUs that vested during fiscal </w:t>
      </w:r>
      <w:r>
        <w:rPr>
          <w:rFonts w:ascii="Times New Roman;serif" w:hAnsi="Times New Roman;serif"/>
          <w:b w:val="false"/>
          <w:i/>
          <w:color w:val="242424"/>
          <w:sz w:val="16"/>
        </w:rPr>
        <w:t>2025</w:t>
      </w:r>
      <w:r>
        <w:rPr>
          <w:color w:val="000000"/>
        </w:rPr>
        <w:t xml:space="preserve"> </w:t>
      </w:r>
      <w:r>
        <w:rPr>
          <w:rFonts w:ascii="Times New Roman;serif" w:hAnsi="Times New Roman;serif"/>
          <w:b w:val="false"/>
          <w:i/>
          <w:color w:val="000000"/>
          <w:sz w:val="16"/>
        </w:rPr>
        <w:t>plus the estimated December 31, 2025 fair value of outstanding RSUs that were outstanding as of December 31, 2025.</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Looking Ahead - 2026 Compensation Update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February 2026, our compensation committee approved the 2026 Bonus Plan and 2026 RSU equity grants that will retain most of the same characteristics as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Below is a summary of some of the notable updates to our 2026 compensation program for our named executive officers: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 xml:space="preserve">In order to maintain the alignment of the interests of our named executive officers with our long-term growth and interests of our stockholders as well as provide competitive compensation to our executives, each named executive officer who was still providing services as </w:t>
            </w:r>
            <w:r>
              <w:rPr>
                <w:rFonts w:ascii="Times New Roman;serif" w:hAnsi="Times New Roman;serif"/>
                <w:b w:val="false"/>
                <w:color w:val="000000"/>
                <w:sz w:val="20"/>
                <w:shd w:fill="FFFFFF" w:val="clear"/>
              </w:rPr>
              <w:t>of February 25, 2026</w:t>
            </w:r>
            <w:r>
              <w:rPr>
                <w:color w:val="000000"/>
              </w:rPr>
              <w:t xml:space="preserve"> </w:t>
            </w:r>
            <w:r>
              <w:rPr>
                <w:rFonts w:ascii="Times New Roman;serif" w:hAnsi="Times New Roman;serif"/>
                <w:b w:val="false"/>
                <w:color w:val="000000"/>
                <w:sz w:val="20"/>
              </w:rPr>
              <w:t>was granted RSUs that vest quarterly over a three year vesting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100% of the 2026 Bonus Plan target for all eligible team members will be paid through cash, based on selected company performance objectives similar to those in place for fiscal 2025. </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Executive Compensation Policies and Practices</w:t>
      </w:r>
    </w:p>
    <w:p>
      <w:pPr>
        <w:pStyle w:val="TextBody"/>
        <w:bidi w:val="0"/>
        <w:spacing w:lineRule="auto" w:line="288" w:before="120" w:after="120"/>
        <w:jc w:val="left"/>
        <w:rPr/>
      </w:pPr>
      <w:r>
        <w:rPr>
          <w:rFonts w:ascii="Times New Roman;serif" w:hAnsi="Times New Roman;serif"/>
          <w:b w:val="false"/>
          <w:color w:val="000000"/>
          <w:sz w:val="20"/>
        </w:rPr>
        <w:t xml:space="preserve">Our executive compensation policies and practices reinforce our pay-for-performance philosophy and align with sound governance principles. Listed below are highlights of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compensation policies and practices.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884"/>
        <w:gridCol w:w="1884"/>
        <w:gridCol w:w="1897"/>
        <w:gridCol w:w="109"/>
        <w:gridCol w:w="109"/>
        <w:gridCol w:w="109"/>
        <w:gridCol w:w="109"/>
        <w:gridCol w:w="109"/>
        <w:gridCol w:w="109"/>
        <w:gridCol w:w="1196"/>
        <w:gridCol w:w="1121"/>
        <w:gridCol w:w="1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What we do</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What we do not do</w:t>
            </w:r>
          </w:p>
        </w:tc>
      </w:tr>
      <w:tr>
        <w:trPr/>
        <w:tc>
          <w:tcPr>
            <w:tcW w:w="34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a pay-for-performance philosophy to align executive compensation with performance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“single-trigger” cash or equity change in control benefits for executives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Use equity-based compensation, including RSUs and PRSUs, to generally deliver a majority of the total compensation of our executive officers to further align their interests with those of our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tax gross-ups on severance or change in control benefits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Require a threshold level of achievement for payout with respect to each performance measure, including a minimum Adjusted EBITDA threshold, and cap payout of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guaranteed bonuses or base salary increases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Conduct an annual risk assessment of our executive and broad-based compensation programs to promote prudent risk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post-termination retirement, pension, or deferred compensation benefits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a compensation committee consisting solely of independent directors with extensive relevant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excessive perquisites, health, or other benefits, other than those that are generally available to our employees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Conduct an annual review of our executive compensation strategy, competitiveness, and peer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strict benchmarking of compensation to a specific percentile of our peer group</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 an independent compensation consultant who reports directly to our 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hedging or pledging of our securities by any employees or directors</w:t>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Say-on-Pay Advisory Stockholder Vote on Executive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2026 Annual Meeting of Stockholders, we will be conducting a non-binding stockholder advisory vote on the compensation of our named executive officers (commonly known as a “Say-on-Pay” vote).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value the opinions of our stockholders, and when making compensation decisions for our named executive officers in the future, our board, and our compensation committee intend to consider the outcome of the say-on-pay advisory vote, in addition to other stockholder feedback that may be received throughout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Compensation Philosophy, Objectives, and Design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compensation philosophy is that an executive compensation program should drive and reward performance and further align the compensation of our executive officers with the long-term interests of our stockholders. To support these objectives and deliver strong execution, our compensation programs are designed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9"/>
        <w:gridCol w:w="2854"/>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attract, motivate, incentivize, and retain employees at the executive level who contribute to our long-term success;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provide compensation packages to our executives that are competitive and reward the achievement of our business objectives and effectively align their interests with those of our stockholders;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effectively align our executives’ interests with those of our stockholders by focusing on long-term equity incentives that correlate with the growth of sustainable long-term value for our stockholders. </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this purpose, we use a mix of compensation elements including base salary, annual bonus (that includes a mix of cash and PRSUs for all team members), long-term equity incentives, and benefits, including potential post-termination severance benefits, to attract, retain, and incentivize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Original Form 10-K in the section titled “Business - The Health Catalyst Flywheel,” our team member engagement, which includes our executive team members, is central to our success and the success of our clients and stockholders. When team members feel connected to our mission and are listened to, cared for, and respected at an extraordinary level, they produce outstanding work, which enables our clients to measurably improve. As clients realize improvements, their trust in us builds, their engagement in our shared work increases, and they choose to renew and expand their relationship with us, while also referring us to key decision-makers at other potential clients. Client renewal, expansion, and referral produce growing, scalable, and predictable financial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determining the amount of each element of direct compensation awarded to the named executive officers, our compensation committee does not apply any fixed percentage of any one element in relation to the overall compensation package. Rather, our compensation committee looks at the overall compensation package and the relative amount of each element on a stand-alone basis for each individual to determine whether such amounts and mix of elements are consistent with the basic principles and objectives of our overall executive compensation program.</w:t>
      </w:r>
    </w:p>
    <w:p>
      <w:pPr>
        <w:pStyle w:val="TextBody"/>
        <w:bidi w:val="0"/>
        <w:spacing w:lineRule="auto" w:line="288" w:before="180" w:after="283"/>
        <w:jc w:val="both"/>
        <w:rPr/>
      </w:pPr>
      <w:r>
        <w:rPr>
          <w:rFonts w:ascii="Times New Roman;serif" w:hAnsi="Times New Roman;serif"/>
          <w:b w:val="false"/>
          <w:color w:val="000000"/>
          <w:sz w:val="20"/>
        </w:rPr>
        <w:t xml:space="preserve">In general, we aim for a significant majority of the compensation opportunity for our named executive officers to be weighted towards equity (most of which vests over three or four years and some that vest based upon specific performance objectives), as opposed to cash compensation. We generally structure our executive compensation program to be weighted towards long-term equity incentives as we continue to transition the compensation of our named executive officers to levels that are more consistent with executive compensation in our compensation peer group, which we also believe correlates with the growth of sustainable long-term value for our stockholders. As discussed above, we implemented a long-term PRSU executive compensation component for all named executive officers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for all named executive officers, including our CEO.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our executive compensation philosophy and executive compensation program, including design and competitiveness, at least annually and as circumstances require. As part of this review process, our compensation committee applies our values and the objectives outlined above.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Compensation-Setting Process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Role of the Compensation Consultant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Our compensation committee is authorized to retain the services of one or more executive compensation advisors, as it sees fit, in connection with the establishment of our executive compensation programs and related policies to assist it by providing information, analysis, and other advice relating to our executive compensation program and the decisions resulting from the committee’s annual executive compensation review. For fiscal </w:t>
      </w:r>
      <w:r>
        <w:rPr>
          <w:rFonts w:ascii="Times New Roman;serif" w:hAnsi="Times New Roman;serif"/>
          <w:b w:val="false"/>
          <w:color w:val="242424"/>
          <w:sz w:val="20"/>
        </w:rPr>
        <w:t>2025</w:t>
      </w:r>
      <w:r>
        <w:rPr>
          <w:rFonts w:ascii="Times New Roman;serif" w:hAnsi="Times New Roman;serif"/>
          <w:b w:val="false"/>
          <w:color w:val="000000"/>
          <w:sz w:val="20"/>
        </w:rPr>
        <w:t>, our compensation committee retained Aon’s Human Capital Solutions practice, a division of Aon plc (Aon), a top global consulting firm, to provide it with market information, analysis, and other advice relating to executive compensation on an ongoing basis. Aon was engaged to,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82"/>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assist in developing a relevant group of peer companies to help our compensation committee determine the appropriate level of overall compensation for our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assess each separate element of compensation, with a goal of ensuring that the compensation we offer to our executive officers, individually as well as in the aggregate, is competitive and fair;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provide market practices for equity compensation design;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develop a compensation risk assessment;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coordinate with our management for data collection and job matching for our executive officers;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support other ad hoc matters throughout the year.</w:t>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its consideration of the factors specified in SEC rules and the Nasdaq listing standards, our compensation committee does not believe that its relationship with Aon and the work of Aon on behalf of our compensation committee and our management team has raised any conflict of interest. Our compensation committee reviews these factors on an annual basis. The compensation committee also evaluated the independence of other outside advisors to the compensation committee, including outside legal counsel, considered the same independence factors, and concluded their work for the compensation committee does not raise any conflicts of interest and concluded Aon is independent.</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Elements of Our Executive Compensation Program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consists of the following primary components: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2"/>
        <w:gridCol w:w="694"/>
        <w:gridCol w:w="699"/>
        <w:gridCol w:w="109"/>
        <w:gridCol w:w="109"/>
        <w:gridCol w:w="109"/>
        <w:gridCol w:w="338"/>
        <w:gridCol w:w="338"/>
        <w:gridCol w:w="339"/>
        <w:gridCol w:w="109"/>
        <w:gridCol w:w="109"/>
        <w:gridCol w:w="109"/>
        <w:gridCol w:w="859"/>
        <w:gridCol w:w="859"/>
        <w:gridCol w:w="861"/>
        <w:gridCol w:w="109"/>
        <w:gridCol w:w="109"/>
        <w:gridCol w:w="109"/>
        <w:gridCol w:w="1044"/>
        <w:gridCol w:w="992"/>
        <w:gridCol w:w="1409"/>
      </w:tblGrid>
      <w:tr>
        <w:trPr/>
        <w:tc>
          <w:tcPr>
            <w:tcW w:w="7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Element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Type of Element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Compensation Element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Objective</w:t>
            </w:r>
          </w:p>
        </w:tc>
      </w:tr>
      <w:tr>
        <w:trPr/>
        <w:tc>
          <w:tcPr>
            <w:tcW w:w="218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attract and retain highly talented executives by providing fixed compensation amounts that are competitive in the market and reward performance</w:t>
            </w:r>
          </w:p>
        </w:tc>
      </w:tr>
      <w:tr>
        <w:trPr/>
        <w:tc>
          <w:tcPr>
            <w:tcW w:w="218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Performance-Based Incentives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 awards (with a 1-year performance period) that may be earned and settled for shares of our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motivate our executives to achieve annual business objectives contained in our annual operating plan and provide financial incentives when we meet or exceed these annual objectives</w:t>
            </w:r>
          </w:p>
        </w:tc>
      </w:tr>
      <w:tr>
        <w:trPr/>
        <w:tc>
          <w:tcPr>
            <w:tcW w:w="21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1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5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2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awards that may vest and be settled for shares of our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align the interests of our executives and our stockholders by motivating executives to create sustainable long-term stockholder value</w:t>
            </w:r>
          </w:p>
        </w:tc>
      </w:tr>
      <w:tr>
        <w:trPr/>
        <w:tc>
          <w:tcPr>
            <w:tcW w:w="2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PRSU awards (with a 3-year performance period) that may be earned and settled for shares of our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change in control-related payments and benefits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attract and retain highly talented executives by providing severance and change in control-related payments and benefits that are competitive in the market</w:t>
            </w:r>
          </w:p>
        </w:tc>
      </w:tr>
      <w:tr>
        <w:trPr/>
        <w:tc>
          <w:tcPr>
            <w:tcW w:w="21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1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vesting of Stock Options, RSU, and/or PRSU awards</w:t>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44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provide our executive officers with comprehensive employee benefit programs, such as medical, dental, and vision insurance, a 401(k) plan, life and disability insurance, flexible spending accounts, an employee stock purchase plan, and other plans and programs made available to all our eligible employees. We believe these elements provide a compensation package that attracts and retains qualified individuals, links individual performance to company performance, focuses the efforts of our named executive officers on the achievement of both our short-term and long-term objectives, and further aligns the interests of our executive officers with those of our stockholders.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Base Salaries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base salaries to recognize the experience, skills, knowledge, and responsibilities required of all our employees, including our named executive officers. We provide base salary as a fixed source of compensation for each of our named executive officers, allowing them a degree of certainty relative to the significant majority of their compensation that is based on equity awards, the value of which varies. Our compensation committee recognizes the importance of base salaries as an element of compensation that helps to attract and retain highly qualified executive talent.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base salary of each executive officer is established through arm’s-length negotiation at the time the executive officer is hired, taking into account a variety of factors, including the executive’s qualifications, experience, and compensation expectations and comparable market data. Base salaries of named executive officers are reviewed annually by the compensation committee, typically in connection with our annual performance review process, and adjusted from time to time to realign salaries with market levels after taking into account individual responsibilities, performance, and experience. Our compensation committee does not apply specific formulas in setting base salary levels or determining adjustments from year to year. However, in completing its annual review and adjustment, our compensation committee targets paying our named executive officers base salaries that are competitive with current market practice (as reflected by our compensation peer group).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actual salaries paid to our named executive officers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and fiscal 2024 and the percentage change compared to fiscal 2024 are set forth below.</w:t>
      </w:r>
    </w:p>
    <w:p>
      <w:pPr>
        <w:pStyle w:val="TextBody"/>
        <w:bidi w:val="0"/>
        <w:spacing w:before="0" w:after="0"/>
        <w:jc w:val="both"/>
        <w:rPr/>
      </w:pPr>
      <w:r>
        <w:rPr/>
      </w:r>
    </w:p>
    <w:tbl>
      <w:tblPr>
        <w:tblW w:w="9801" w:type="dxa"/>
        <w:jc w:val="center"/>
        <w:tblInd w:w="0" w:type="dxa"/>
        <w:tblLayout w:type="fixed"/>
        <w:tblCellMar>
          <w:top w:w="28" w:type="dxa"/>
          <w:left w:w="28" w:type="dxa"/>
          <w:bottom w:w="28" w:type="dxa"/>
          <w:right w:w="28" w:type="dxa"/>
        </w:tblCellMar>
      </w:tblPr>
      <w:tblGrid>
        <w:gridCol w:w="815"/>
        <w:gridCol w:w="716"/>
        <w:gridCol w:w="719"/>
        <w:gridCol w:w="109"/>
        <w:gridCol w:w="109"/>
        <w:gridCol w:w="109"/>
        <w:gridCol w:w="714"/>
        <w:gridCol w:w="714"/>
        <w:gridCol w:w="717"/>
        <w:gridCol w:w="109"/>
        <w:gridCol w:w="109"/>
        <w:gridCol w:w="109"/>
        <w:gridCol w:w="395"/>
        <w:gridCol w:w="1546"/>
        <w:gridCol w:w="204"/>
        <w:gridCol w:w="109"/>
        <w:gridCol w:w="109"/>
        <w:gridCol w:w="109"/>
        <w:gridCol w:w="464"/>
        <w:gridCol w:w="464"/>
        <w:gridCol w:w="135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Fiscal 2025 Base 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Fiscal 2024 Base 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Change from Fiscal 2024</w:t>
            </w:r>
          </w:p>
        </w:tc>
      </w:tr>
      <w:tr>
        <w:trPr/>
        <w:tc>
          <w:tcPr>
            <w:tcW w:w="225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Burton</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0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Jason Alger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353,125 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Benjamin Albert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343,722 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395,625 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 LeSueur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255,000 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2"/>
        <w:gridCol w:w="2876"/>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Alger’s base salary increased from $350,000 to $425,000 effective December 16,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Mr. Albert’s base salary increased from $310,500 to $475,000 effective September 16, 2025 in connection with his appointment as Chief Operating Officer and President. Mr. Albert joined the company in January 2025 as part of the Upfront Healthcare Services acquisition.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Freeman’s base salary increased from $395,000 to $410,000 to effective December 16,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LeSueur ceased serving as Chief Operating Officer and principal operating officer of the Company, effective September 15, 2025, so the salary included above is only through such date.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Annual Performance-Based Incentives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performance-based incentives to motivate our team members, including the named executive officers, to achieve our annual financial and operational objectives, while making progress towards our longer-term strategic and growth goals. Typically, near the beginning of each fiscal year, our compensation committee adopts the performance criteria and targets for our Bonus Plan for that fiscal year and establishes the target annual incentive opportunity for each plan participant based on a percentage of each participant’s base salary, the performance measures and the associated target levels for each measure, and the potential payouts based on actual performance for the fiscal year. </w:t>
      </w:r>
    </w:p>
    <w:p>
      <w:pPr>
        <w:pStyle w:val="TextBody"/>
        <w:bidi w:val="0"/>
        <w:spacing w:lineRule="auto" w:line="288" w:before="180" w:after="283"/>
        <w:jc w:val="both"/>
        <w:rPr/>
      </w:pPr>
      <w:r>
        <w:rPr>
          <w:rFonts w:ascii="Times New Roman;serif" w:hAnsi="Times New Roman;serif"/>
          <w:b w:val="false"/>
          <w:color w:val="000000"/>
          <w:sz w:val="20"/>
        </w:rPr>
        <w:t xml:space="preserve">For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Bonus Plan, up to 100% of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target was payable through PRSUs, based on selected company performance objectives. In addition, our compensation committee considered the factors described in the section titled “Oversight of Executive Compensation Program—Compensation-Setting Process” above.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 &amp; Structure</w:t>
      </w:r>
    </w:p>
    <w:p>
      <w:pPr>
        <w:pStyle w:val="TextBody"/>
        <w:bidi w:val="0"/>
        <w:spacing w:lineRule="auto" w:line="288" w:before="180" w:after="283"/>
        <w:jc w:val="both"/>
        <w:rPr/>
      </w:pPr>
      <w:r>
        <w:rPr>
          <w:rFonts w:ascii="Times New Roman;serif" w:hAnsi="Times New Roman;serif"/>
          <w:b w:val="false"/>
          <w:color w:val="000000"/>
          <w:sz w:val="20"/>
        </w:rPr>
        <w:t xml:space="preserve">In February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adopted and approved the performance criteria and targets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under our Bonus Plan, as set forth in the section titled “Corporate Performance Measures” below. The Bonus Plan provides opportunities for incentive compensation for all team members, including the named executive officers, based on our actual achievement of pre-established corporate financial objectives. The target levels for the financial objectives were set at levels determined to be challenging and requiring substantial skill and effort by our named executive officers.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is designed such that participants are to receive 100% of their target bonus in PRSUs with a maximum 125% stretch threshold in specific categories that may counter lower achievement in other categories with a cap of 100% total payout in order to align the committee’s assessment of our named executive officers’ performance to our achievement of our annual operating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Target Annual Incentive Compensation Opportunities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February </w:t>
      </w:r>
      <w:r>
        <w:rPr>
          <w:rFonts w:ascii="Times New Roman;serif" w:hAnsi="Times New Roman;serif"/>
          <w:b w:val="false"/>
          <w:color w:val="242424"/>
          <w:sz w:val="20"/>
        </w:rPr>
        <w:t>2025</w:t>
      </w:r>
      <w:r>
        <w:rPr>
          <w:rFonts w:ascii="Times New Roman;serif" w:hAnsi="Times New Roman;serif"/>
          <w:b w:val="false"/>
          <w:color w:val="000000"/>
          <w:sz w:val="20"/>
        </w:rPr>
        <w:t>, in connection with its review of our executive compensation program, our compensation committee approved the target annual incentive opportunities of our named executive officers, as set forth in the table below.</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Target Performance-Based Incentives for Fiscal </w:t>
      </w:r>
      <w:r>
        <w:rPr>
          <w:rFonts w:ascii="Times New Roman;serif" w:hAnsi="Times New Roman;serif"/>
          <w:b/>
          <w:color w:val="242424"/>
          <w:sz w:val="20"/>
        </w:rPr>
        <w:t>2025</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The target annual incentive bonus opportunities for our named executive officers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were as follows:</w:t>
      </w:r>
    </w:p>
    <w:tbl>
      <w:tblPr>
        <w:tblW w:w="10205" w:type="dxa"/>
        <w:jc w:val="left"/>
        <w:tblInd w:w="0" w:type="dxa"/>
        <w:tblLayout w:type="fixed"/>
        <w:tblCellMar>
          <w:top w:w="28" w:type="dxa"/>
          <w:left w:w="28" w:type="dxa"/>
          <w:bottom w:w="28" w:type="dxa"/>
          <w:right w:w="28" w:type="dxa"/>
        </w:tblCellMar>
      </w:tblPr>
      <w:tblGrid>
        <w:gridCol w:w="576"/>
        <w:gridCol w:w="482"/>
        <w:gridCol w:w="486"/>
        <w:gridCol w:w="109"/>
        <w:gridCol w:w="109"/>
        <w:gridCol w:w="109"/>
        <w:gridCol w:w="211"/>
        <w:gridCol w:w="826"/>
        <w:gridCol w:w="109"/>
        <w:gridCol w:w="109"/>
        <w:gridCol w:w="109"/>
        <w:gridCol w:w="109"/>
        <w:gridCol w:w="751"/>
        <w:gridCol w:w="751"/>
        <w:gridCol w:w="1873"/>
        <w:gridCol w:w="109"/>
        <w:gridCol w:w="109"/>
        <w:gridCol w:w="109"/>
        <w:gridCol w:w="492"/>
        <w:gridCol w:w="1928"/>
        <w:gridCol w:w="254"/>
        <w:gridCol w:w="109"/>
        <w:gridCol w:w="109"/>
        <w:gridCol w:w="109"/>
        <w:gridCol w:w="158"/>
      </w:tblGrid>
      <w:tr>
        <w:trPr/>
        <w:tc>
          <w:tcPr>
            <w:tcW w:w="5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Base 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Target Performance-Based Incentive as Percent of Base Salary</w:t>
            </w:r>
            <w:r>
              <w:rPr>
                <w:rFonts w:ascii="Times New Roman;serif" w:hAnsi="Times New Roman;serif"/>
                <w:b/>
                <w:color w:val="FFFFFF"/>
                <w:sz w:val="10"/>
              </w:rPr>
              <w:t>(1)</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2025 Target Annual Incentive Bonus Opportunity</w:t>
            </w:r>
            <w:r>
              <w:rPr>
                <w:rFonts w:ascii="Times New Roman;serif" w:hAnsi="Times New Roman;serif"/>
                <w:b/>
                <w:color w:val="FFFFFF"/>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Burton</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276,250 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Kevin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 LeSueur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the total target performance-based incentive percent of base salary effective as of the annual bonus PRSU grant date of February 20, 2025 (March 17, 2025 for Mr. Albert).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Represents the fiscal 2025 target PRSU bonus amount for each of our named executive officers and was calculated based on 100% of the expected December 31, 2025 base salary and target bonus percentage as of March 17, 2025 for Mr. Albert and February 20, 2025 for all other NEOs. Refer to the section titled “</w:t>
            </w:r>
            <w:r>
              <w:rPr>
                <w:rFonts w:ascii="Times New Roman;serif" w:hAnsi="Times New Roman;serif"/>
                <w:b w:val="false"/>
                <w:i/>
                <w:color w:val="000000"/>
                <w:sz w:val="16"/>
              </w:rPr>
              <w:t xml:space="preserve">Corporate Performance Measures and Bonus Plan Funding Methodology” </w:t>
            </w:r>
            <w:r>
              <w:rPr>
                <w:rFonts w:ascii="Times New Roman;serif" w:hAnsi="Times New Roman;serif"/>
                <w:b w:val="false"/>
                <w:color w:val="000000"/>
                <w:sz w:val="16"/>
              </w:rPr>
              <w:t xml:space="preserve">below for more information.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Performance Measures and Bonus Plan Funding Methodology</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measure performance for purposes of the Annual Bonus Plan, our compensation committee selected company performance objectives as shown below:</w:t>
      </w:r>
    </w:p>
    <w:tbl>
      <w:tblPr>
        <w:tblW w:w="10205" w:type="dxa"/>
        <w:jc w:val="left"/>
        <w:tblInd w:w="0" w:type="dxa"/>
        <w:tblLayout w:type="fixed"/>
        <w:tblCellMar>
          <w:top w:w="28" w:type="dxa"/>
          <w:left w:w="28" w:type="dxa"/>
          <w:bottom w:w="28" w:type="dxa"/>
          <w:right w:w="28" w:type="dxa"/>
        </w:tblCellMar>
      </w:tblPr>
      <w:tblGrid>
        <w:gridCol w:w="403"/>
        <w:gridCol w:w="2492"/>
        <w:gridCol w:w="426"/>
        <w:gridCol w:w="426"/>
        <w:gridCol w:w="430"/>
        <w:gridCol w:w="109"/>
        <w:gridCol w:w="109"/>
        <w:gridCol w:w="109"/>
        <w:gridCol w:w="863"/>
        <w:gridCol w:w="669"/>
        <w:gridCol w:w="687"/>
        <w:gridCol w:w="109"/>
        <w:gridCol w:w="109"/>
        <w:gridCol w:w="109"/>
        <w:gridCol w:w="1099"/>
        <w:gridCol w:w="846"/>
        <w:gridCol w:w="1210"/>
      </w:tblGrid>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Category</w:t>
            </w:r>
          </w:p>
        </w:tc>
        <w:tc>
          <w:tcPr>
            <w:tcW w:w="327" w:type="dxa"/>
            <w:gridSpan w:val="3"/>
            <w:tcBorders>
              <w:top w:val="single" w:sz="8" w:space="0" w:color="FFFFFF"/>
              <w:bottom w:val="single" w:sz="8" w:space="0" w:color="FFFFFF"/>
            </w:tcBorders>
            <w:shd w:fill="026DCE" w:val="clear"/>
            <w:tcMar>
              <w:left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FFFFFF"/>
              <w:bottom w:val="single" w:sz="8" w:space="0" w:color="FFFFFF"/>
            </w:tcBorders>
            <w:shd w:fill="026DC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 xml:space="preserve">%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color w:val="FFFFFF"/>
                <w:sz w:val="22"/>
              </w:rPr>
            </w:pPr>
            <w:r>
              <w:rPr>
                <w:rFonts w:ascii="Times New Roman;serif" w:hAnsi="Times New Roman;serif"/>
                <w:b/>
                <w:color w:val="FFFFFF"/>
                <w:sz w:val="22"/>
              </w:rPr>
              <w:t>Fiscal 2025 Annual Bonus Plan Metric</w:t>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Improvement</w:t>
            </w:r>
            <w:r>
              <w:rPr>
                <w:rFonts w:ascii="Times New Roman;serif" w:hAnsi="Times New Roman;serif"/>
                <w:b w:val="false"/>
                <w:color w:val="000000"/>
                <w:sz w:val="13"/>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6.7%</w:t>
            </w:r>
            <w:r>
              <w:rPr>
                <w:rFonts w:ascii="Times New Roman;serif" w:hAnsi="Times New Roman;serif"/>
                <w:b w:val="false"/>
                <w:color w:val="000000"/>
                <w:sz w:val="13"/>
              </w:rPr>
              <w:t>(1)</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Client satisfaction score</w:t>
            </w:r>
          </w:p>
        </w:tc>
      </w:tr>
      <w:tr>
        <w:trPr/>
        <w:tc>
          <w:tcPr>
            <w:tcW w:w="403"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Team member engagement score</w:t>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9" w:type="dxa"/>
            <w:gridSpan w:val="3"/>
            <w:vMerge w:val="continue"/>
            <w:tcBorders/>
            <w:tcMar>
              <w:top w:w="0" w:type="dxa"/>
              <w:left w:w="0" w:type="dxa"/>
              <w:bottom w:w="0" w:type="dxa"/>
              <w:right w:w="0" w:type="dxa"/>
            </w:tcMar>
            <w:vAlign w:val="center"/>
          </w:tcPr>
          <w:p>
            <w:pPr>
              <w:pStyle w:val="Normal"/>
              <w:bidi w:val="0"/>
              <w:jc w:val="left"/>
              <w:rPr/>
            </w:pPr>
            <w:r>
              <w:rPr/>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Percentage of select clients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achieving measurable improvements</w:t>
            </w:r>
          </w:p>
        </w:tc>
      </w:tr>
      <w:tr>
        <w:trPr/>
        <w:tc>
          <w:tcPr>
            <w:tcW w:w="403"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measurable improvements (all clients)</w:t>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9" w:type="dxa"/>
            <w:gridSpan w:val="3"/>
            <w:vMerge w:val="continue"/>
            <w:tcBorders/>
            <w:tcMar>
              <w:top w:w="0" w:type="dxa"/>
              <w:left w:w="0" w:type="dxa"/>
              <w:bottom w:w="0" w:type="dxa"/>
              <w:right w:w="0" w:type="dxa"/>
            </w:tcMar>
            <w:vAlign w:val="center"/>
          </w:tcPr>
          <w:p>
            <w:pPr>
              <w:pStyle w:val="Normal"/>
              <w:bidi w:val="0"/>
              <w:jc w:val="left"/>
              <w:rPr/>
            </w:pPr>
            <w:r>
              <w:rPr/>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projects on time</w:t>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New / Total Number of Platform Clients</w:t>
            </w:r>
          </w:p>
        </w:tc>
      </w:tr>
      <w:tr>
        <w:trPr/>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8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Platform Client ARR+NRR</w:t>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8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 Client Dollar-based Net Retention</w:t>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5" w:type="dxa"/>
            <w:gridSpan w:val="3"/>
            <w:tcBorders/>
            <w:vAlign w:val="center"/>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5" w:type="dxa"/>
            <w:gridSpan w:val="3"/>
            <w:tcBorders/>
            <w:vAlign w:val="center"/>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r>
    </w:tbl>
    <w:tbl>
      <w:tblPr>
        <w:tblW w:w="6656" w:type="dxa"/>
        <w:jc w:val="left"/>
        <w:tblInd w:w="0" w:type="dxa"/>
        <w:tblLayout w:type="fixed"/>
        <w:tblCellMar>
          <w:top w:w="28" w:type="dxa"/>
          <w:left w:w="28" w:type="dxa"/>
          <w:bottom w:w="28" w:type="dxa"/>
          <w:right w:w="28" w:type="dxa"/>
        </w:tblCellMar>
      </w:tblPr>
      <w:tblGrid>
        <w:gridCol w:w="124"/>
        <w:gridCol w:w="109"/>
        <w:gridCol w:w="109"/>
        <w:gridCol w:w="1848"/>
        <w:gridCol w:w="1848"/>
        <w:gridCol w:w="26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the lower of the client satisfaction or team member engagement scores.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Select clients include participating Platform Clients and certain other participating clients.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Below are selected definitions of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metrics: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Platform Clients</w:t>
      </w:r>
      <w:r>
        <w:rPr>
          <w:color w:val="000000"/>
        </w:rPr>
        <w:t xml:space="preserve"> </w:t>
      </w:r>
      <w:r>
        <w:rPr>
          <w:rFonts w:ascii="Times New Roman;serif" w:hAnsi="Times New Roman;serif"/>
          <w:b w:val="false"/>
          <w:color w:val="000000"/>
          <w:sz w:val="20"/>
        </w:rPr>
        <w:t>are defined as: (i) all Platform Clients as of December 31, 2024 under our historical definition (formerly referred to as DOS Subscription Clients, which we also referred to as Platform Subscription Clients), and (ii) as of January 1, 2025, any client that signs technology contracts with at least $100,000 of incremental total annual recurring revenue (ARR) and non-recurring revenue (NRR) in a given calendar year, inclusive of clients that come through acquisition if we first begin recognizing revenue for the client post-acquisition and that total ARR and NRR exceeds $100,000 in that calendar year, so long as such client maintains an active subscription as of the end of the period. Once a client is designated as a Platform Client, it will continue to be a Platform Client unless it is no longer a client with an active subscription as of the end of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Dollar-based Retention Rate </w:t>
      </w:r>
      <w:r>
        <w:rPr>
          <w:rFonts w:ascii="Times New Roman;serif" w:hAnsi="Times New Roman;serif"/>
          <w:b w:val="false"/>
          <w:color w:val="000000"/>
          <w:sz w:val="20"/>
        </w:rPr>
        <w:t>We calculate our Dollar-based Retention Rate as of a period end by starting with the sum of the technology and Tech-Enabled Managed Services (TEMS) ARR from our Platform Clients as of the date 12 months prior to such period end (prior period 2025 ARR). This calculation excludes professional services ARR and non-recurring revenue. We then calculated the sum of the ARR from these same clients as of the current period end (current period 2025 ARR). Current period 2025 ARR includes any upsells and also reflects contraction or attrition over the trailing twelve months but excludes ARR from new Platform Clients added in the current period who were not clients at the beginning of such period. This current period 2025 ARR may include acquired ARR from clients (i.e., through acquisition of a company) that overlap with the Platform Clients in a given calendar year. We then divide the current period 2025 ARR by the prior period 2025 ARR to arrive at our Dollar-Based Retention Rate for Technology and TEMS. We calculate applicable ARR for each Platform Client as the expected monthly recurring revenue of our clients as of the last day of a period multiplied by 12. Because our primary business model is to contract for our Platform, analytics applications, and TEMS, our Dollar-Based Retention Rate calculated above only includes our Platform Clients. App Clients that do not meet the definition of a Platform Client, which are primarily legacy Medicity, Able Health, Healthfinch, Vitalware, Twistle, KPI Ninja, ARMUS, ERS, Carevive, Lumeon, Intraprise, and Upfront clients, are not included in the Dollar-Based Retention Rate metrics. As it relates to TEMS, we define this cohort of clients as Platform Clients who subscribe to a Tech-Enabled Managed Services contract with the exception of our pilot ambulatory TEMS offering related to specific ambulatory services agreements, which were sunset in 2025 and which is excluded from Dollar-Based Retention Rate calculations in prior, current and future periods. This cohort of technology and TEMS ARR from our Platform Clients represented the majority of our ARR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as reflected in our quarterly and annual financial statements is a non-GAAP financial measure that we define as net loss adjusted for (i) interest and other (income) expense, net, (ii) income tax provision (benefit), (iii) depreciation and amortization, (iv) stock-based compensation, (v) acquisition-related costs, net, (vi) litigation costs, (vii) restructuring costs, (viii) impairment of goodwill and intangible assets, and (ix) non-recurring lease-related charges, as applicable. Adjusted EBITDA Margin is a non-GAAP financial measure that we define as Adjusted EBITDA as a percentage of total revenue. For an explanation of our management’s use of Adjusted EBITDA and Adjusted EBITDA Margin and a reconciliation of net loss and net loss margin,, the most directly comparable financial measures calculated in accordance with GAAP, to Adjusted EBITDA and Adjusted EBITDA Margin, respectively, please see the Reconciliation of Non-GAAP Financial Measures section at the end of Item 11.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Measurable improvements</w:t>
      </w:r>
      <w:r>
        <w:rPr>
          <w:color w:val="000000"/>
        </w:rPr>
        <w:t xml:space="preserve"> </w:t>
      </w:r>
      <w:r>
        <w:rPr>
          <w:rFonts w:ascii="Times New Roman;serif" w:hAnsi="Times New Roman;serif"/>
          <w:b w:val="false"/>
          <w:color w:val="000000"/>
          <w:sz w:val="20"/>
        </w:rPr>
        <w:t xml:space="preserve">represent meaningful (i.e., significant enough to present to the client), favorable changes that have been quantified and approved by the client.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target levels required for 100% achievement for the corporate performance measures under our Bonus Plan were approved by our compensation committee and board of directors. The compensation committee set high target thresholds to ensure that incentive payments would only follow significant achievement and total payouts could have been as low as 0% if minimum thresholds were not met. The total payouts for each individual metric were capped at 125%, while the total combined payouts were capped at 100% of the target amounts.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Performance in Fiscal </w:t>
      </w:r>
      <w:r>
        <w:rPr>
          <w:rFonts w:ascii="Times New Roman;serif" w:hAnsi="Times New Roman;serif"/>
          <w:b w:val="false"/>
          <w:i/>
          <w:color w:val="242424"/>
          <w:sz w:val="20"/>
        </w:rPr>
        <w:t>2025</w:t>
      </w:r>
      <w:r>
        <w:rPr>
          <w:color w:val="000000"/>
        </w:rPr>
        <w:t xml:space="preserve"> </w:t>
      </w:r>
      <w:r>
        <w:rPr>
          <w:rFonts w:ascii="Times New Roman;serif" w:hAnsi="Times New Roman;serif"/>
          <w:b w:val="false"/>
          <w:i/>
          <w:color w:val="000000"/>
          <w:sz w:val="20"/>
        </w:rPr>
        <w:t>and Payouts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February 2026 our compensation committee assessed our performance against the composite targets established under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Bonus Plan and the actual achievement compared to the target are described below. The achievement percentages displayed in the tables below are zero if the minimum bonus threshold was not reached, 50% if the threshold was reached, 100% if the target was reached, 125% if the stretch goal was reached, or the percentage achieved of the range between the threshold, target, and stretch performance amounts. The Improvement, Growth, and Scale metrics are capped at 125% with a combined 100% total payout cap. The compensation committee has endeavored to set the performance goals at definitive, rigorous, and objective levels so as to require significant effort and achievement by our executive team to be attained.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85"/>
        <w:gridCol w:w="339"/>
        <w:gridCol w:w="342"/>
        <w:gridCol w:w="109"/>
        <w:gridCol w:w="109"/>
        <w:gridCol w:w="109"/>
        <w:gridCol w:w="375"/>
        <w:gridCol w:w="375"/>
        <w:gridCol w:w="376"/>
        <w:gridCol w:w="109"/>
        <w:gridCol w:w="109"/>
        <w:gridCol w:w="109"/>
        <w:gridCol w:w="403"/>
        <w:gridCol w:w="403"/>
        <w:gridCol w:w="404"/>
        <w:gridCol w:w="109"/>
        <w:gridCol w:w="109"/>
        <w:gridCol w:w="109"/>
        <w:gridCol w:w="487"/>
        <w:gridCol w:w="460"/>
        <w:gridCol w:w="461"/>
        <w:gridCol w:w="109"/>
        <w:gridCol w:w="109"/>
        <w:gridCol w:w="109"/>
        <w:gridCol w:w="300"/>
        <w:gridCol w:w="300"/>
        <w:gridCol w:w="301"/>
        <w:gridCol w:w="109"/>
        <w:gridCol w:w="109"/>
        <w:gridCol w:w="109"/>
        <w:gridCol w:w="109"/>
        <w:gridCol w:w="109"/>
        <w:gridCol w:w="205"/>
        <w:gridCol w:w="205"/>
        <w:gridCol w:w="206"/>
        <w:gridCol w:w="109"/>
        <w:gridCol w:w="109"/>
        <w:gridCol w:w="109"/>
        <w:gridCol w:w="220"/>
        <w:gridCol w:w="220"/>
        <w:gridCol w:w="221"/>
        <w:gridCol w:w="109"/>
        <w:gridCol w:w="109"/>
        <w:gridCol w:w="109"/>
        <w:gridCol w:w="206"/>
        <w:gridCol w:w="206"/>
        <w:gridCol w:w="298"/>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Actual Achievement of 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Measure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8"/>
              </w:rPr>
            </w:pPr>
            <w:r>
              <w:rPr>
                <w:rFonts w:ascii="Times New Roman;serif" w:hAnsi="Times New Roman;serif"/>
                <w:b/>
                <w:color w:val="FFFFFF"/>
                <w:sz w:val="18"/>
              </w:rPr>
              <w:t>Target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Stretch</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r>
      <w:tr>
        <w:trPr/>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Client satisfaction score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Team member engagement 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Percentage of select clients achieving measurable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measurable improvements (all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247</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projects on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For the Improvement category, the client satisfaction score was determined based on client survey results converted to a scale of 1 to 10. The actual team member engagement score was determined based on Gallup survey results converted to a scale of 1 to 5. These survey results provide us with feedback from our users and team members and provide a valuable non-financial strategic input for our leadership team in running our business. Our client satisfaction score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was 7.8 and the comparable measure of team member engagement score was 3.8. The improvement bonus payout for our named executive officers is based on the lower of the two metrics which, for the team member engagement score, did not meet the threshold target amount of 4.1.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Measurable improvements represent a meaningful, favorable change that has been quantified and approved by the client. Measurable improvements provide a non-financial metric for leadership that demonstrates how we are adding value to our clients and accelerates the Health Catalyst flywheel. The percentage of select clients achieving measurable improvements was 62%, which was above the minimum threshold of 60% but below the performance target of 75%. The number of measurable improvements for all clients was 247 which was above the stretch goal of 185.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track the percentage of projects completed on time as an important, non-financial metric for leadership that demonstrates how we are providing timely service and value to our clients and accelerates the Health Catalyst flywheel. The percentage of projects completed on time was 82%, which was above the performance target of 80%.</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75"/>
        <w:gridCol w:w="375"/>
        <w:gridCol w:w="376"/>
        <w:gridCol w:w="109"/>
        <w:gridCol w:w="109"/>
        <w:gridCol w:w="109"/>
        <w:gridCol w:w="411"/>
        <w:gridCol w:w="411"/>
        <w:gridCol w:w="413"/>
        <w:gridCol w:w="109"/>
        <w:gridCol w:w="109"/>
        <w:gridCol w:w="109"/>
        <w:gridCol w:w="438"/>
        <w:gridCol w:w="438"/>
        <w:gridCol w:w="440"/>
        <w:gridCol w:w="109"/>
        <w:gridCol w:w="109"/>
        <w:gridCol w:w="109"/>
        <w:gridCol w:w="300"/>
        <w:gridCol w:w="300"/>
        <w:gridCol w:w="301"/>
        <w:gridCol w:w="109"/>
        <w:gridCol w:w="109"/>
        <w:gridCol w:w="109"/>
        <w:gridCol w:w="109"/>
        <w:gridCol w:w="109"/>
        <w:gridCol w:w="207"/>
        <w:gridCol w:w="207"/>
        <w:gridCol w:w="208"/>
        <w:gridCol w:w="109"/>
        <w:gridCol w:w="109"/>
        <w:gridCol w:w="109"/>
        <w:gridCol w:w="220"/>
        <w:gridCol w:w="220"/>
        <w:gridCol w:w="222"/>
        <w:gridCol w:w="109"/>
        <w:gridCol w:w="109"/>
        <w:gridCol w:w="109"/>
        <w:gridCol w:w="378"/>
        <w:gridCol w:w="285"/>
        <w:gridCol w:w="34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Actual Achievement of 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Measure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Stretch</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gridSpan w:val="16"/>
            <w:tcBorders/>
          </w:tcPr>
          <w:p>
            <w:pPr>
              <w:pStyle w:val="TableContents"/>
              <w:bidi w:val="0"/>
              <w:spacing w:before="0" w:after="283"/>
              <w:jc w:val="left"/>
              <w:rPr>
                <w:sz w:val="4"/>
                <w:szCs w:val="4"/>
              </w:rPr>
            </w:pPr>
            <w:r>
              <w:rPr>
                <w:sz w:val="4"/>
                <w:szCs w:val="4"/>
              </w:rPr>
            </w:r>
          </w:p>
        </w:tc>
      </w:tr>
      <w:tr>
        <w:trPr/>
        <w:tc>
          <w:tcPr>
            <w:tcW w:w="82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Growth</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New / Total Number of Platform Clients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 / 170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 / 180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 / 185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Below Minimum Threshold</w:t>
            </w:r>
          </w:p>
        </w:tc>
      </w:tr>
      <w:tr>
        <w:trPr/>
        <w:tc>
          <w:tcPr>
            <w:tcW w:w="8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Platform Client ARR+NRR ($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8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Platform Client Dollar-based Net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8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20"/>
        </w:rPr>
        <w:t xml:space="preserve">With respect to the Growth category, actual new client growth, measured as net new and total Platform Clients, was below the minimum threshold goal of 40 net new and 170 total Platform Clients in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New Platform Client ARR+NRR was below the minimum threshold of $20.0 million in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Platform Client Dollar-based Net Retention was below the minimum threshold of 103% in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75"/>
        <w:gridCol w:w="375"/>
        <w:gridCol w:w="376"/>
        <w:gridCol w:w="109"/>
        <w:gridCol w:w="109"/>
        <w:gridCol w:w="109"/>
        <w:gridCol w:w="468"/>
        <w:gridCol w:w="468"/>
        <w:gridCol w:w="469"/>
        <w:gridCol w:w="109"/>
        <w:gridCol w:w="109"/>
        <w:gridCol w:w="109"/>
        <w:gridCol w:w="455"/>
        <w:gridCol w:w="455"/>
        <w:gridCol w:w="456"/>
        <w:gridCol w:w="109"/>
        <w:gridCol w:w="109"/>
        <w:gridCol w:w="109"/>
        <w:gridCol w:w="300"/>
        <w:gridCol w:w="300"/>
        <w:gridCol w:w="301"/>
        <w:gridCol w:w="109"/>
        <w:gridCol w:w="109"/>
        <w:gridCol w:w="109"/>
        <w:gridCol w:w="109"/>
        <w:gridCol w:w="109"/>
        <w:gridCol w:w="208"/>
        <w:gridCol w:w="208"/>
        <w:gridCol w:w="209"/>
        <w:gridCol w:w="109"/>
        <w:gridCol w:w="109"/>
        <w:gridCol w:w="109"/>
        <w:gridCol w:w="220"/>
        <w:gridCol w:w="220"/>
        <w:gridCol w:w="221"/>
        <w:gridCol w:w="109"/>
        <w:gridCol w:w="109"/>
        <w:gridCol w:w="109"/>
        <w:gridCol w:w="229"/>
        <w:gridCol w:w="229"/>
        <w:gridCol w:w="33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Actual Achievement of 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Measure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Stretch</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6"/>
            <w:tcBorders/>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Scale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Adjusted EBITDA ($ millions)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r>
    </w:tbl>
    <w:p>
      <w:pPr>
        <w:pStyle w:val="TextBody"/>
        <w:bidi w:val="0"/>
        <w:spacing w:lineRule="auto" w:line="288" w:before="180" w:after="283"/>
        <w:jc w:val="both"/>
        <w:rPr/>
      </w:pPr>
      <w:r>
        <w:rPr>
          <w:rFonts w:ascii="Times New Roman;serif" w:hAnsi="Times New Roman;serif"/>
          <w:b w:val="false"/>
          <w:color w:val="000000"/>
          <w:sz w:val="20"/>
        </w:rPr>
        <w:t xml:space="preserve">For assessing our performance,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Adjusted EBITDA was a significant improvement compared to the $26.1 million of Adjusted EBITDA from fiscal 2024 and exceeded the minimum threshold of $40.0 million, but was below the performance target of $45.0 million. Adjusted EBITDA is a non-GAAP financial measure. For an explanation of our management’s use of Adjusted EBITDA and a reconciliation of net loss, the most directly comparable financial measure calculated in accordance with GAAP, to Adjusted EBITDA, please see the Reconciliation of Non-GAAP Financial Measures section at the end of Item 11. </w:t>
      </w:r>
    </w:p>
    <w:p>
      <w:pPr>
        <w:pStyle w:val="TextBody"/>
        <w:bidi w:val="0"/>
        <w:spacing w:lineRule="auto" w:line="288" w:before="180" w:after="283"/>
        <w:jc w:val="both"/>
        <w:rPr/>
      </w:pPr>
      <w:r>
        <w:rPr>
          <w:rFonts w:ascii="Times New Roman;serif" w:hAnsi="Times New Roman;serif"/>
          <w:b w:val="false"/>
          <w:color w:val="000000"/>
          <w:sz w:val="20"/>
        </w:rPr>
        <w:t xml:space="preserve">As a result, the total actual annual performance-based incentive compensation for our named executive officers under the Annual Bonus Plan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were as follows:</w:t>
      </w:r>
    </w:p>
    <w:tbl>
      <w:tblPr>
        <w:tblW w:w="10205" w:type="dxa"/>
        <w:jc w:val="left"/>
        <w:tblInd w:w="0" w:type="dxa"/>
        <w:tblLayout w:type="fixed"/>
        <w:tblCellMar>
          <w:top w:w="28" w:type="dxa"/>
          <w:left w:w="28" w:type="dxa"/>
          <w:bottom w:w="28" w:type="dxa"/>
          <w:right w:w="28" w:type="dxa"/>
        </w:tblCellMar>
      </w:tblPr>
      <w:tblGrid>
        <w:gridCol w:w="562"/>
        <w:gridCol w:w="468"/>
        <w:gridCol w:w="472"/>
        <w:gridCol w:w="109"/>
        <w:gridCol w:w="109"/>
        <w:gridCol w:w="109"/>
        <w:gridCol w:w="695"/>
        <w:gridCol w:w="2732"/>
        <w:gridCol w:w="364"/>
        <w:gridCol w:w="109"/>
        <w:gridCol w:w="109"/>
        <w:gridCol w:w="109"/>
        <w:gridCol w:w="675"/>
        <w:gridCol w:w="2311"/>
        <w:gridCol w:w="351"/>
        <w:gridCol w:w="109"/>
        <w:gridCol w:w="109"/>
        <w:gridCol w:w="109"/>
        <w:gridCol w:w="109"/>
        <w:gridCol w:w="109"/>
        <w:gridCol w:w="109"/>
        <w:gridCol w:w="109"/>
        <w:gridCol w:w="158"/>
      </w:tblGrid>
      <w:tr>
        <w:trPr/>
        <w:tc>
          <w:tcPr>
            <w:tcW w:w="5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FFFFFF"/>
                <w:sz w:val="16"/>
              </w:rPr>
            </w:pPr>
            <w:r>
              <w:rPr>
                <w:rFonts w:ascii="Times New Roman;serif" w:hAnsi="Times New Roman;serif"/>
                <w:b/>
                <w:color w:val="FFFFFF"/>
                <w:sz w:val="16"/>
              </w:rPr>
              <w:t>2025 Target Annual Performance-Based Incentive Compensation Opportunity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180" w:after="283"/>
              <w:jc w:val="center"/>
              <w:rPr/>
            </w:pPr>
            <w:r>
              <w:rPr>
                <w:rFonts w:ascii="Times New Roman;serif" w:hAnsi="Times New Roman;serif"/>
                <w:b/>
                <w:color w:val="FFFFFF"/>
                <w:sz w:val="16"/>
              </w:rPr>
              <w:t>2025 Actual Annual Performance-Based Incentive Compensation</w:t>
            </w:r>
            <w:r>
              <w:rPr>
                <w:rFonts w:ascii="Times New Roman;serif" w:hAnsi="Times New Roman;serif"/>
                <w:b/>
                <w:color w:val="FFFFFF"/>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Burton</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3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36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351"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276,250 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 Lesueur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Based on our actual achievement against the composite targets established under the 2025 Annual Bonus Plan, the resulting total composite bonus achievement percentage resulted in 39% of the 2025 annual bonus PRSUs vesting. The actual annual performance-based incentive compensation calculated above is based on the actual number of 2025 annual bonus PRSUs vested multiplied by the December 31, 2025 closing share price. The decrease in price per share compared to the original grant dates resulted in these values being approximately 15% of the target annual performance-based incentive compensation opportunity amounts as of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Messrs. Freeman and LeSueur remained eligible for the annual performance-based incentive compensation after their previously noted departures as part of their separation agreements. </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Equity Incentives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2011, our board adopted the Health Catalyst, Inc. 2011 Stock Incentive Plan (the 2011 Plan), which provided for the direct award, sale of shares, and granting of options for our common stock to our directors, team members, or consultants. In connection with our initial public offering (IPO), our board of directors adopted the 2019 Stock Option and Incentive Plan (the 2019 Plan). The 2019 Plan provides flexibility to our compensation committee to use various equity-based incentive awards as compensation tools to motivate our workforce, including the grant of incentive and nonstatutory stock options, restricted and unrestricted stock, RSUs, PRSUs, and stock appreciation rights to our directors, team members, or consultants.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view long-term incentive compensation in the form of equity awards as a critical element of our executive compensation program and our team member compensation program. The realized value of these equity awards has a direct relationship to our stock price; therefore, these awards are an incentive for our named executive officers and all of our team members to create value for our stockholders. Equity awards also help us retain qualified executive officers and team members in a competitive market.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incentive compensation opportunities in the form of equity awards are granted by our compensation committee on a regularly-scheduled basis, as described in “Other Compensation Policies—Equity Award Grant Policy” below.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For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determined that the equity awards to be granted to our chief executive officer should be in the form of 50% RSUs and 50% long-term PRSUs and the equity awards to be granted to our other executive officers should be in the form of approximately 66.67% RSUs and 33.33% long-term PRSUs. Equity awards in the form of RSUs and PRSUs provide retention incentives for our named executive officers and reward them for long-term stock price appreciation while at the same time providing some value even if the market price of our common stock declines. The equity awards granted to our named executive officers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are set forth in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Summary Compensation Table” and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Grants of Plan-Based Awards Table”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believe RSUs provide a strong retention incentive for our named executive officers, provide a reward for long-term stock price appreciation while at the same time providing some value even if the market price of our common stock declines, and are less dilutive than stock options to our stockholders. All RSUs are granted under our 2019 Plan and are settled for shares of our common stock. In fiscal </w:t>
      </w:r>
      <w:r>
        <w:rPr>
          <w:rFonts w:ascii="Times New Roman;serif" w:hAnsi="Times New Roman;serif"/>
          <w:b w:val="false"/>
          <w:color w:val="242424"/>
          <w:sz w:val="20"/>
        </w:rPr>
        <w:t>2025</w:t>
      </w:r>
      <w:r>
        <w:rPr>
          <w:rFonts w:ascii="Times New Roman;serif" w:hAnsi="Times New Roman;serif"/>
          <w:b w:val="false"/>
          <w:color w:val="000000"/>
          <w:sz w:val="20"/>
        </w:rPr>
        <w:t>, we granted our named executive officers RSUs that vest as to one-third of such shares on December 1 of such grant year and in 8 approximately equal quarterly installments thereafter, so long as the named executive officer continues a service relationship with us through the applicable vesting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Long-term PRSUs</w:t>
      </w:r>
    </w:p>
    <w:p>
      <w:pPr>
        <w:pStyle w:val="TextBody"/>
        <w:bidi w:val="0"/>
        <w:spacing w:lineRule="auto" w:line="288" w:before="180" w:after="283"/>
        <w:jc w:val="both"/>
        <w:rPr/>
      </w:pPr>
      <w:r>
        <w:rPr>
          <w:rFonts w:ascii="Times New Roman;serif" w:hAnsi="Times New Roman;serif"/>
          <w:b w:val="false"/>
          <w:i/>
          <w:color w:val="000000"/>
          <w:sz w:val="20"/>
        </w:rPr>
        <w:t xml:space="preserve">Fiscal </w:t>
      </w:r>
      <w:r>
        <w:rPr>
          <w:rFonts w:ascii="Times New Roman;serif" w:hAnsi="Times New Roman;serif"/>
          <w:b w:val="false"/>
          <w:i/>
          <w:color w:val="242424"/>
          <w:sz w:val="20"/>
        </w:rPr>
        <w:t>2025</w:t>
      </w:r>
      <w:r>
        <w:rPr>
          <w:rFonts w:ascii="Times New Roman;serif" w:hAnsi="Times New Roman;serif"/>
          <w:b w:val="false"/>
          <w:i/>
          <w:color w:val="000000"/>
          <w:sz w:val="20"/>
        </w:rPr>
        <w:t>-2027 PRSUs</w:t>
      </w:r>
    </w:p>
    <w:p>
      <w:pPr>
        <w:pStyle w:val="TextBody"/>
        <w:bidi w:val="0"/>
        <w:spacing w:lineRule="auto" w:line="288" w:before="180" w:after="283"/>
        <w:jc w:val="both"/>
        <w:rPr/>
      </w:pPr>
      <w:r>
        <w:rPr>
          <w:rFonts w:ascii="Times New Roman;serif" w:hAnsi="Times New Roman;serif"/>
          <w:b w:val="false"/>
          <w:color w:val="000000"/>
          <w:sz w:val="20"/>
        </w:rPr>
        <w:t xml:space="preserve">In order to further align the interests of our named executive officers with our long-term growth and interests of our stockholders, each named executive officer as of February 20,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(or September 24, 2025 in the case of Mr. Albert) was granted executive PRSUs with a three-year measurement period (Fiscal </w:t>
      </w:r>
      <w:r>
        <w:rPr>
          <w:rFonts w:ascii="Times New Roman;serif" w:hAnsi="Times New Roman;serif"/>
          <w:b w:val="false"/>
          <w:color w:val="242424"/>
          <w:sz w:val="20"/>
        </w:rPr>
        <w:t>2025</w:t>
      </w:r>
      <w:r>
        <w:rPr>
          <w:rFonts w:ascii="Times New Roman;serif" w:hAnsi="Times New Roman;serif"/>
          <w:b w:val="false"/>
          <w:color w:val="000000"/>
          <w:sz w:val="20"/>
        </w:rPr>
        <w:t xml:space="preserve">-2027 PRSUs) that includes performance targets for TSR Achievement (weighted 25%), Revenue Growth Rate Achievement (weighted 25%), and Adjusted EBITDA Margin Achievement (weighted 50%), as part of their typical, annual LTIP equity grants. These PRSUs may vest in an amount up to the amount granted, subject to satisfaction of the performance targets. The number of PRSUs that will vest for the </w:t>
      </w:r>
      <w:r>
        <w:rPr>
          <w:rFonts w:ascii="Times New Roman;serif" w:hAnsi="Times New Roman;serif"/>
          <w:b w:val="false"/>
          <w:color w:val="242424"/>
          <w:sz w:val="20"/>
        </w:rPr>
        <w:t>2025</w:t>
      </w:r>
      <w:r>
        <w:rPr>
          <w:rFonts w:ascii="Times New Roman;serif" w:hAnsi="Times New Roman;serif"/>
          <w:b w:val="false"/>
          <w:color w:val="000000"/>
          <w:sz w:val="20"/>
        </w:rPr>
        <w:t xml:space="preserve">, 2026, and 2027 vesting periods will be calculated as follows: (i) the performance achievement for the applicable vesting period, multiplied by (ii) approximately 33.33% of the PRSUs for each of the </w:t>
      </w:r>
      <w:r>
        <w:rPr>
          <w:rFonts w:ascii="Times New Roman;serif" w:hAnsi="Times New Roman;serif"/>
          <w:b w:val="false"/>
          <w:color w:val="242424"/>
          <w:sz w:val="20"/>
        </w:rPr>
        <w:t>2025</w:t>
      </w:r>
      <w:r>
        <w:rPr>
          <w:rFonts w:ascii="Times New Roman;serif" w:hAnsi="Times New Roman;serif"/>
          <w:b w:val="false"/>
          <w:color w:val="000000"/>
          <w:sz w:val="20"/>
        </w:rPr>
        <w:t xml:space="preserve">, 2026, and 2027 vesting periods, each rounded to the nearest whole share. </w:t>
      </w:r>
    </w:p>
    <w:p>
      <w:pPr>
        <w:pStyle w:val="TextBody"/>
        <w:bidi w:val="0"/>
        <w:spacing w:lineRule="auto" w:line="288" w:before="180" w:after="283"/>
        <w:jc w:val="both"/>
        <w:rPr/>
      </w:pPr>
      <w:r>
        <w:rPr>
          <w:rFonts w:ascii="Times New Roman;serif" w:hAnsi="Times New Roman;serif"/>
          <w:b w:val="false"/>
          <w:color w:val="000000"/>
          <w:sz w:val="20"/>
        </w:rPr>
        <w:t xml:space="preserve">Our compensation committee selected the following company performance objectives for these Fiscal </w:t>
      </w:r>
      <w:r>
        <w:rPr>
          <w:rFonts w:ascii="Times New Roman;serif" w:hAnsi="Times New Roman;serif"/>
          <w:b w:val="false"/>
          <w:color w:val="242424"/>
          <w:sz w:val="20"/>
        </w:rPr>
        <w:t>2025</w:t>
      </w:r>
      <w:r>
        <w:rPr>
          <w:rFonts w:ascii="Times New Roman;serif" w:hAnsi="Times New Roman;serif"/>
          <w:b w:val="false"/>
          <w:color w:val="000000"/>
          <w:sz w:val="20"/>
        </w:rPr>
        <w:t xml:space="preserve">-2027 PRSUs as shown below: </w:t>
      </w:r>
    </w:p>
    <w:tbl>
      <w:tblPr>
        <w:tblW w:w="10205" w:type="dxa"/>
        <w:jc w:val="left"/>
        <w:tblInd w:w="0" w:type="dxa"/>
        <w:tblLayout w:type="fixed"/>
        <w:tblCellMar>
          <w:top w:w="28" w:type="dxa"/>
          <w:left w:w="28" w:type="dxa"/>
          <w:bottom w:w="28" w:type="dxa"/>
          <w:right w:w="28" w:type="dxa"/>
        </w:tblCellMar>
      </w:tblPr>
      <w:tblGrid>
        <w:gridCol w:w="1423"/>
        <w:gridCol w:w="109"/>
        <w:gridCol w:w="770"/>
        <w:gridCol w:w="334"/>
        <w:gridCol w:w="335"/>
        <w:gridCol w:w="109"/>
        <w:gridCol w:w="109"/>
        <w:gridCol w:w="109"/>
        <w:gridCol w:w="1020"/>
        <w:gridCol w:w="1020"/>
        <w:gridCol w:w="1024"/>
        <w:gridCol w:w="109"/>
        <w:gridCol w:w="109"/>
        <w:gridCol w:w="109"/>
        <w:gridCol w:w="1102"/>
        <w:gridCol w:w="1081"/>
        <w:gridCol w:w="1333"/>
      </w:tblGrid>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Fiscal 2025-2027 PRSU Metrics</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xml:space="preserve">% Weighting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Why It Matters</w:t>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TSR Achievement</w:t>
            </w:r>
            <w:r>
              <w:rPr>
                <w:rFonts w:ascii="Times New Roman;serif" w:hAnsi="Times New Roman;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Aligns our three-year stock performance to the Russell 3000 index. Investors recognize TSR as an appropriate measure to motivate executives and achieve alignment with shareholder interests.</w:t>
            </w:r>
          </w:p>
        </w:tc>
      </w:tr>
      <w:tr>
        <w:trPr/>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 Growth Rate Achievement</w:t>
            </w: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Establishes forward looking three-year GAAP revenue growth targets, providing an effective indicator of future top-line growth prospects and driving long-term performance and value creation. Aligns with our technology and professional services growth strategy.</w:t>
            </w:r>
          </w:p>
        </w:tc>
        <w:tc>
          <w:tcPr>
            <w:tcW w:w="3843" w:type="dxa"/>
            <w:gridSpan w:val="6"/>
            <w:tcBorders/>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 Achievement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Aligns three-year Adjusted EBITDA Margin growth resulting from the effective execution of our strategic operating plan to broadly comparable companies subject to similar external market and economic factors. Our ability to generate long-term profitability is critical to our growth and funding of operating and investing activities.</w:t>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16" w:type="dxa"/>
        <w:jc w:val="left"/>
        <w:tblInd w:w="0" w:type="dxa"/>
        <w:tblLayout w:type="fixed"/>
        <w:tblCellMar>
          <w:top w:w="28" w:type="dxa"/>
          <w:left w:w="28" w:type="dxa"/>
          <w:bottom w:w="28" w:type="dxa"/>
          <w:right w:w="28" w:type="dxa"/>
        </w:tblCellMar>
      </w:tblPr>
      <w:tblGrid>
        <w:gridCol w:w="124"/>
        <w:gridCol w:w="109"/>
        <w:gridCol w:w="109"/>
        <w:gridCol w:w="2650"/>
        <w:gridCol w:w="2650"/>
        <w:gridCol w:w="3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our TSR as a percentile of the TSR for the Russell 3000 for the applicable fiscal year vesting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our total GAAP revenue annual growth rate relative to the prior fiscal year for the applicable fiscal year vesting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our Adjusted EBITDA as a percentage of total GAAP revenue for the applicable fiscal year vesting period.</w:t>
            </w:r>
          </w:p>
        </w:tc>
      </w:tr>
    </w:tbl>
    <w:p>
      <w:pPr>
        <w:pStyle w:val="TextBody"/>
        <w:bidi w:val="0"/>
        <w:spacing w:lineRule="auto" w:line="288" w:before="120" w:after="283"/>
        <w:jc w:val="both"/>
        <w:rPr/>
      </w:pPr>
      <w:r>
        <w:rPr>
          <w:rFonts w:ascii="Times New Roman;serif" w:hAnsi="Times New Roman;serif"/>
          <w:b w:val="false"/>
          <w:color w:val="000000"/>
          <w:sz w:val="20"/>
        </w:rPr>
        <w:t xml:space="preserve">Our compensation committee set the Adjusted EBITDA Margin and Revenue Growth Rate thresholds and targets separately for each of the three fiscal years in the fiscal </w:t>
      </w:r>
      <w:r>
        <w:rPr>
          <w:rFonts w:ascii="Times New Roman;serif" w:hAnsi="Times New Roman;serif"/>
          <w:b w:val="false"/>
          <w:color w:val="242424"/>
          <w:sz w:val="20"/>
        </w:rPr>
        <w:t>2025</w:t>
      </w:r>
      <w:r>
        <w:rPr>
          <w:rFonts w:ascii="Times New Roman;serif" w:hAnsi="Times New Roman;serif"/>
          <w:b w:val="false"/>
          <w:color w:val="000000"/>
          <w:sz w:val="20"/>
        </w:rPr>
        <w:t>-2027 performance period based on our long-term strategic plan, as well as consideration of long-term performance expectations for the Russell 3000. This approach ensures that we provide competitive incentive compensation based on market competitive performance while continuing to focus on our strategic long-term commitments.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i/>
          <w:color w:val="000000"/>
          <w:sz w:val="20"/>
        </w:rPr>
        <w:t xml:space="preserve">Fiscal </w:t>
      </w:r>
      <w:r>
        <w:rPr>
          <w:rFonts w:ascii="Times New Roman;serif" w:hAnsi="Times New Roman;serif"/>
          <w:b w:val="false"/>
          <w:i/>
          <w:color w:val="242424"/>
          <w:sz w:val="20"/>
        </w:rPr>
        <w:t>2025</w:t>
      </w:r>
      <w:r>
        <w:rPr>
          <w:rFonts w:ascii="Times New Roman;serif" w:hAnsi="Times New Roman;serif"/>
          <w:b w:val="false"/>
          <w:i/>
          <w:color w:val="000000"/>
          <w:sz w:val="20"/>
        </w:rPr>
        <w:t xml:space="preserve">-2027 PRSU Performance Goals and Actual Vesting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February 2026 our compensation committee assessed our performance against the composite targets established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as part of the Fiscal </w:t>
      </w:r>
      <w:r>
        <w:rPr>
          <w:rFonts w:ascii="Times New Roman;serif" w:hAnsi="Times New Roman;serif"/>
          <w:b w:val="false"/>
          <w:color w:val="242424"/>
          <w:sz w:val="20"/>
        </w:rPr>
        <w:t>2025</w:t>
      </w:r>
      <w:r>
        <w:rPr>
          <w:rFonts w:ascii="Times New Roman;serif" w:hAnsi="Times New Roman;serif"/>
          <w:b w:val="false"/>
          <w:color w:val="000000"/>
          <w:sz w:val="20"/>
        </w:rPr>
        <w:t>-2027 PRSUs and long-term incentive plan and the actual achievement compared to the target is described below.</w:t>
      </w:r>
    </w:p>
    <w:tbl>
      <w:tblPr>
        <w:tblW w:w="12554"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375"/>
        <w:gridCol w:w="375"/>
        <w:gridCol w:w="376"/>
        <w:gridCol w:w="109"/>
        <w:gridCol w:w="766"/>
        <w:gridCol w:w="285"/>
        <w:gridCol w:w="240"/>
        <w:gridCol w:w="241"/>
        <w:gridCol w:w="360"/>
        <w:gridCol w:w="360"/>
        <w:gridCol w:w="361"/>
        <w:gridCol w:w="140"/>
        <w:gridCol w:w="140"/>
        <w:gridCol w:w="141"/>
        <w:gridCol w:w="375"/>
        <w:gridCol w:w="375"/>
        <w:gridCol w:w="376"/>
        <w:gridCol w:w="159"/>
        <w:gridCol w:w="151"/>
        <w:gridCol w:w="111"/>
        <w:gridCol w:w="300"/>
        <w:gridCol w:w="300"/>
        <w:gridCol w:w="301"/>
        <w:gridCol w:w="140"/>
        <w:gridCol w:w="140"/>
        <w:gridCol w:w="141"/>
        <w:gridCol w:w="205"/>
        <w:gridCol w:w="205"/>
        <w:gridCol w:w="206"/>
        <w:gridCol w:w="109"/>
        <w:gridCol w:w="109"/>
        <w:gridCol w:w="109"/>
        <w:gridCol w:w="466"/>
        <w:gridCol w:w="421"/>
        <w:gridCol w:w="205"/>
        <w:gridCol w:w="205"/>
        <w:gridCol w:w="206"/>
        <w:gridCol w:w="164"/>
        <w:gridCol w:w="141"/>
        <w:gridCol w:w="116"/>
        <w:gridCol w:w="329"/>
        <w:gridCol w:w="329"/>
        <w:gridCol w:w="468"/>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70" w:type="dxa"/>
            <w:gridSpan w:val="39"/>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8"/>
              </w:rPr>
            </w:pPr>
            <w:r>
              <w:rPr>
                <w:rFonts w:ascii="Times New Roman;serif" w:hAnsi="Times New Roman;serif"/>
                <w:b/>
                <w:color w:val="FFFFFF"/>
                <w:sz w:val="18"/>
              </w:rPr>
              <w:t>Fiscal 2025-2027 PRSUs</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Period</w:t>
            </w:r>
          </w:p>
        </w:tc>
        <w:tc>
          <w:tcPr>
            <w:tcW w:w="327" w:type="dxa"/>
            <w:gridSpan w:val="3"/>
            <w:tcBorders>
              <w:top w:val="single" w:sz="8" w:space="0" w:color="FFFFFF"/>
              <w:bottom w:val="single" w:sz="8" w:space="0" w:color="FFFFFF"/>
            </w:tcBorders>
            <w:shd w:fill="026DCE"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bottom w:val="single" w:sz="8" w:space="0" w:color="FFFFFF"/>
            </w:tcBorders>
            <w:shd w:fill="026DC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bottom w:val="single" w:sz="8" w:space="0" w:color="FFFFFF"/>
            </w:tcBorders>
            <w:shd w:fill="026DCE"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Metric</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Weighted Performance</w:t>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p>
        </w:tc>
        <w:tc>
          <w:tcPr>
            <w:tcW w:w="327"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4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4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2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Revenue Growth </w:t>
            </w:r>
          </w:p>
        </w:tc>
        <w:tc>
          <w:tcPr>
            <w:tcW w:w="766"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126" w:type="dxa"/>
            <w:gridSpan w:val="3"/>
            <w:tcBorders/>
          </w:tcPr>
          <w:p>
            <w:pPr>
              <w:pStyle w:val="TableContents"/>
              <w:bidi w:val="0"/>
              <w:spacing w:before="0" w:after="283"/>
              <w:jc w:val="left"/>
              <w:rPr>
                <w:sz w:val="4"/>
                <w:szCs w:val="4"/>
              </w:rPr>
            </w:pPr>
            <w:r>
              <w:rPr>
                <w:sz w:val="4"/>
                <w:szCs w:val="4"/>
              </w:rPr>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2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66"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0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1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9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6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126" w:type="dxa"/>
            <w:gridSpan w:val="3"/>
            <w:tcBorders/>
          </w:tcPr>
          <w:p>
            <w:pPr>
              <w:pStyle w:val="TableContents"/>
              <w:bidi w:val="0"/>
              <w:spacing w:before="0" w:after="283"/>
              <w:jc w:val="left"/>
              <w:rPr>
                <w:sz w:val="4"/>
                <w:szCs w:val="4"/>
              </w:rPr>
            </w:pPr>
            <w:r>
              <w:rPr>
                <w:sz w:val="4"/>
                <w:szCs w:val="4"/>
              </w:rPr>
            </w:r>
          </w:p>
        </w:tc>
      </w:tr>
      <w:tr>
        <w:trPr/>
        <w:tc>
          <w:tcPr>
            <w:tcW w:w="9177" w:type="dxa"/>
            <w:gridSpan w:val="35"/>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r>
              <w:rPr>
                <w:color w:val="000000"/>
              </w:rPr>
              <w:t xml:space="preserve"> </w:t>
            </w:r>
            <w:r>
              <w:rPr>
                <w:rFonts w:ascii="Times New Roman;serif" w:hAnsi="Times New Roman;serif"/>
                <w:b w:val="false"/>
                <w:color w:val="000000"/>
                <w:sz w:val="18"/>
              </w:rPr>
              <w:t>Final Vesting Percentage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Fiscal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be determined (TBD)</w:t>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64" w:type="dxa"/>
            <w:tcBorders/>
          </w:tcPr>
          <w:p>
            <w:pPr>
              <w:pStyle w:val="TableContents"/>
              <w:bidi w:val="0"/>
              <w:spacing w:before="0" w:after="283"/>
              <w:jc w:val="left"/>
              <w:rPr>
                <w:sz w:val="4"/>
                <w:szCs w:val="4"/>
              </w:rPr>
            </w:pPr>
            <w:r>
              <w:rPr>
                <w:sz w:val="4"/>
                <w:szCs w:val="4"/>
              </w:rPr>
            </w:r>
          </w:p>
        </w:tc>
        <w:tc>
          <w:tcPr>
            <w:tcW w:w="141"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1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9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6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64" w:type="dxa"/>
            <w:tcBorders/>
          </w:tcPr>
          <w:p>
            <w:pPr>
              <w:pStyle w:val="TableContents"/>
              <w:bidi w:val="0"/>
              <w:spacing w:before="0" w:after="283"/>
              <w:jc w:val="left"/>
              <w:rPr>
                <w:sz w:val="4"/>
                <w:szCs w:val="4"/>
              </w:rPr>
            </w:pPr>
            <w:r>
              <w:rPr>
                <w:sz w:val="4"/>
                <w:szCs w:val="4"/>
              </w:rPr>
            </w:r>
          </w:p>
        </w:tc>
        <w:tc>
          <w:tcPr>
            <w:tcW w:w="141"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9177" w:type="dxa"/>
            <w:gridSpan w:val="35"/>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Fiscal 2026 Final Vesting Percentage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Fiscal 2027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33.34%</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9177" w:type="dxa"/>
            <w:gridSpan w:val="35"/>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Fiscal 2027 Final Vesting Percentage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The vesting opportunity in respect to each Fiscal </w:t>
      </w:r>
      <w:r>
        <w:rPr>
          <w:rFonts w:ascii="Times New Roman;serif" w:hAnsi="Times New Roman;serif"/>
          <w:b w:val="false"/>
          <w:color w:val="242424"/>
          <w:sz w:val="20"/>
        </w:rPr>
        <w:t>2025</w:t>
      </w:r>
      <w:r>
        <w:rPr>
          <w:rFonts w:ascii="Times New Roman;serif" w:hAnsi="Times New Roman;serif"/>
          <w:b w:val="false"/>
          <w:color w:val="000000"/>
          <w:sz w:val="20"/>
        </w:rPr>
        <w:t xml:space="preserve">-2027 PRSU metric and fiscal year is calculated separately according to the vesting percentages described below. </w:t>
      </w:r>
    </w:p>
    <w:tbl>
      <w:tblPr>
        <w:tblW w:w="5676"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469"/>
        <w:gridCol w:w="469"/>
        <w:gridCol w:w="471"/>
        <w:gridCol w:w="109"/>
        <w:gridCol w:w="109"/>
        <w:gridCol w:w="109"/>
        <w:gridCol w:w="300"/>
        <w:gridCol w:w="300"/>
        <w:gridCol w:w="301"/>
        <w:gridCol w:w="109"/>
        <w:gridCol w:w="109"/>
        <w:gridCol w:w="109"/>
        <w:gridCol w:w="206"/>
        <w:gridCol w:w="206"/>
        <w:gridCol w:w="29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Performance Metric</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Below 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r>
      <w:tr>
        <w:trPr/>
        <w:tc>
          <w:tcPr>
            <w:tcW w:w="16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 of Target)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performance metric achievement for a given fiscal year and performance metric is between the threshold and target, the vesting percentage is calculating using interpolation between the threshold and target vesting percentages shown above.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Fiscal 2024-2026 PRSUs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further align the interests of our named executive officers with our long-term growth and interests of our stockholders, each named executive officer as of February 20, 2024 (or March 1, 2024 in the case of Mr. Alger) was granted executive PRSUs with a three-year measurement period (Fiscal 2024-2026 PRSUs) that includes performance targets for TSR Achievement (weighted 25%), Revenue Growth Rate Achievement (weighted 25%), and Adjusted EBITDA Margin Achievement (weighted 50%), as part of their typical, annual LTIP equity grants. These PRSUs may vest in an amount up to the amount granted, subject to satisfaction of the performance targets. The number of PRSUs that will vest for the 2024, 2025, and 2026 vesting periods will be calculated as follows: (i) the performance achievement for the applicable vesting period, multiplied by (ii) approximately 33.33% of the PRSUs for each of the 2024, 2025, and 2026 vesting periods, each rounded to the nearest whole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our compensation committee assessed our performance against the composite targets established for fiscal 2025 as part of the Fiscal 2024-2026 PRSUs and long-term incentive plan and the actual achievement compared to the target is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9"/>
        <w:gridCol w:w="351"/>
        <w:gridCol w:w="352"/>
        <w:gridCol w:w="109"/>
        <w:gridCol w:w="109"/>
        <w:gridCol w:w="109"/>
        <w:gridCol w:w="109"/>
        <w:gridCol w:w="109"/>
        <w:gridCol w:w="785"/>
        <w:gridCol w:w="109"/>
        <w:gridCol w:w="362"/>
        <w:gridCol w:w="362"/>
        <w:gridCol w:w="363"/>
        <w:gridCol w:w="109"/>
        <w:gridCol w:w="109"/>
        <w:gridCol w:w="109"/>
        <w:gridCol w:w="375"/>
        <w:gridCol w:w="375"/>
        <w:gridCol w:w="376"/>
        <w:gridCol w:w="109"/>
        <w:gridCol w:w="109"/>
        <w:gridCol w:w="109"/>
        <w:gridCol w:w="300"/>
        <w:gridCol w:w="300"/>
        <w:gridCol w:w="301"/>
        <w:gridCol w:w="109"/>
        <w:gridCol w:w="109"/>
        <w:gridCol w:w="109"/>
        <w:gridCol w:w="205"/>
        <w:gridCol w:w="205"/>
        <w:gridCol w:w="206"/>
        <w:gridCol w:w="109"/>
        <w:gridCol w:w="109"/>
        <w:gridCol w:w="109"/>
        <w:gridCol w:w="423"/>
        <w:gridCol w:w="109"/>
        <w:gridCol w:w="207"/>
        <w:gridCol w:w="207"/>
        <w:gridCol w:w="208"/>
        <w:gridCol w:w="109"/>
        <w:gridCol w:w="109"/>
        <w:gridCol w:w="109"/>
        <w:gridCol w:w="332"/>
        <w:gridCol w:w="332"/>
        <w:gridCol w:w="48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7252" w:type="dxa"/>
            <w:gridSpan w:val="31"/>
            <w:tcBorders>
              <w:bottom w:val="single" w:sz="8" w:space="0" w:color="FFFFFF"/>
            </w:tcBorders>
            <w:shd w:fill="026DCE"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FFFFFF"/>
                <w:sz w:val="18"/>
              </w:rPr>
            </w:pPr>
            <w:r>
              <w:rPr>
                <w:rFonts w:ascii="Times New Roman;serif" w:hAnsi="Times New Roman;serif"/>
                <w:b/>
                <w:color w:val="FFFFFF"/>
                <w:sz w:val="18"/>
              </w:rPr>
              <w:t>Fiscal 2024-2026 PRSUs</w:t>
            </w:r>
          </w:p>
        </w:tc>
        <w:tc>
          <w:tcPr>
            <w:tcW w:w="2953" w:type="dxa"/>
            <w:gridSpan w:val="14"/>
            <w:tcBorders/>
          </w:tcPr>
          <w:p>
            <w:pPr>
              <w:pStyle w:val="TableContents"/>
              <w:bidi w:val="0"/>
              <w:spacing w:before="0" w:after="283"/>
              <w:jc w:val="left"/>
              <w:rPr>
                <w:sz w:val="4"/>
                <w:szCs w:val="4"/>
              </w:rPr>
            </w:pPr>
            <w:r>
              <w:rPr>
                <w:sz w:val="4"/>
                <w:szCs w:val="4"/>
              </w:rPr>
            </w:r>
          </w:p>
        </w:tc>
      </w:tr>
      <w:tr>
        <w:trPr/>
        <w:tc>
          <w:tcPr>
            <w:tcW w:w="110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Period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Metric</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Weighted Performance</w:t>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7" w:type="dxa"/>
            <w:gridSpan w:val="38"/>
            <w:tcBorders/>
          </w:tcPr>
          <w:p>
            <w:pPr>
              <w:pStyle w:val="TableContents"/>
              <w:bidi w:val="0"/>
              <w:spacing w:before="0" w:after="283"/>
              <w:jc w:val="left"/>
              <w:rPr>
                <w:sz w:val="4"/>
                <w:szCs w:val="4"/>
              </w:rPr>
            </w:pPr>
            <w:r>
              <w:rPr>
                <w:sz w:val="4"/>
                <w:szCs w:val="4"/>
              </w:rPr>
            </w:r>
          </w:p>
        </w:tc>
      </w:tr>
      <w:tr>
        <w:trPr/>
        <w:tc>
          <w:tcPr>
            <w:tcW w:w="1102"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10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472" w:type="dxa"/>
            <w:gridSpan w:val="6"/>
            <w:tcBorders/>
          </w:tcPr>
          <w:p>
            <w:pPr>
              <w:pStyle w:val="TableContents"/>
              <w:bidi w:val="0"/>
              <w:spacing w:before="0" w:after="283"/>
              <w:jc w:val="left"/>
              <w:rPr>
                <w:sz w:val="4"/>
                <w:szCs w:val="4"/>
              </w:rPr>
            </w:pPr>
            <w:r>
              <w:rPr>
                <w:sz w:val="4"/>
                <w:szCs w:val="4"/>
              </w:rPr>
            </w:r>
          </w:p>
        </w:tc>
      </w:tr>
      <w:tr>
        <w:trPr/>
        <w:tc>
          <w:tcPr>
            <w:tcW w:w="110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472" w:type="dxa"/>
            <w:gridSpan w:val="6"/>
            <w:tcBorders/>
          </w:tcPr>
          <w:p>
            <w:pPr>
              <w:pStyle w:val="TableContents"/>
              <w:bidi w:val="0"/>
              <w:spacing w:before="0" w:after="283"/>
              <w:jc w:val="left"/>
              <w:rPr>
                <w:sz w:val="4"/>
                <w:szCs w:val="4"/>
              </w:rPr>
            </w:pPr>
            <w:r>
              <w:rPr>
                <w:sz w:val="4"/>
                <w:szCs w:val="4"/>
              </w:rPr>
            </w:r>
          </w:p>
        </w:tc>
      </w:tr>
      <w:tr>
        <w:trPr/>
        <w:tc>
          <w:tcPr>
            <w:tcW w:w="6309" w:type="dxa"/>
            <w:gridSpan w:val="2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r>
              <w:rPr>
                <w:color w:val="000000"/>
              </w:rPr>
              <w:t xml:space="preserve"> </w:t>
            </w:r>
            <w:r>
              <w:rPr>
                <w:rFonts w:ascii="Times New Roman;serif" w:hAnsi="Times New Roman;serif"/>
                <w:b w:val="false"/>
                <w:color w:val="000000"/>
                <w:sz w:val="18"/>
              </w:rPr>
              <w:t>Final Vesting Percentage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2953"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Fiscal 2023-2025 PRSUs Vesting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further align the interests of our named executive officers with our long-term growth and interests of our stockholders, each named executive officer as of February 22, 2023, other than Daniel Burton, was granted executive PRSUs with a three-year measurement period (Fiscal 2023-2025 PRSUs) that includes performance targets for TSR Achievement, Revenue Growth Rate Achievement, and Adjusted EBITDA Margin Achievement, as part of their typical, annual LTIP equity grants (with similar terms and metrics as described above, although the performance targets are each weighted equally). The number of PRSUs that will vest for the 2023, 2024, and 2025 vesting periods will be calculated as follows: (i) the performance achievement for the applicable vesting period, multiplied by (ii) approximately 33.33% of the PRSUs for each of the 2023, 2024 and 2025 vesting periods, each rounded to the nearest whole share. </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our compensation committee assessed our performance against the composite targets established for fiscal 2025 as part of the Fiscal 2023-2025 PRSUs and long-term incentive plan and the actual achievement compared to the target is described below.</w:t>
      </w:r>
    </w:p>
    <w:tbl>
      <w:tblPr>
        <w:tblW w:w="10205" w:type="dxa"/>
        <w:jc w:val="left"/>
        <w:tblInd w:w="0" w:type="dxa"/>
        <w:tblLayout w:type="fixed"/>
        <w:tblCellMar>
          <w:top w:w="28" w:type="dxa"/>
          <w:left w:w="28" w:type="dxa"/>
          <w:bottom w:w="28" w:type="dxa"/>
          <w:right w:w="28" w:type="dxa"/>
        </w:tblCellMar>
      </w:tblPr>
      <w:tblGrid>
        <w:gridCol w:w="399"/>
        <w:gridCol w:w="351"/>
        <w:gridCol w:w="352"/>
        <w:gridCol w:w="109"/>
        <w:gridCol w:w="109"/>
        <w:gridCol w:w="109"/>
        <w:gridCol w:w="109"/>
        <w:gridCol w:w="109"/>
        <w:gridCol w:w="785"/>
        <w:gridCol w:w="109"/>
        <w:gridCol w:w="362"/>
        <w:gridCol w:w="362"/>
        <w:gridCol w:w="363"/>
        <w:gridCol w:w="109"/>
        <w:gridCol w:w="109"/>
        <w:gridCol w:w="109"/>
        <w:gridCol w:w="375"/>
        <w:gridCol w:w="375"/>
        <w:gridCol w:w="376"/>
        <w:gridCol w:w="109"/>
        <w:gridCol w:w="109"/>
        <w:gridCol w:w="109"/>
        <w:gridCol w:w="300"/>
        <w:gridCol w:w="300"/>
        <w:gridCol w:w="301"/>
        <w:gridCol w:w="109"/>
        <w:gridCol w:w="109"/>
        <w:gridCol w:w="109"/>
        <w:gridCol w:w="205"/>
        <w:gridCol w:w="205"/>
        <w:gridCol w:w="206"/>
        <w:gridCol w:w="109"/>
        <w:gridCol w:w="109"/>
        <w:gridCol w:w="109"/>
        <w:gridCol w:w="423"/>
        <w:gridCol w:w="109"/>
        <w:gridCol w:w="207"/>
        <w:gridCol w:w="207"/>
        <w:gridCol w:w="208"/>
        <w:gridCol w:w="109"/>
        <w:gridCol w:w="109"/>
        <w:gridCol w:w="109"/>
        <w:gridCol w:w="332"/>
        <w:gridCol w:w="332"/>
        <w:gridCol w:w="48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7252" w:type="dxa"/>
            <w:gridSpan w:val="31"/>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8"/>
              </w:rPr>
            </w:pPr>
            <w:r>
              <w:rPr>
                <w:rFonts w:ascii="Times New Roman;serif" w:hAnsi="Times New Roman;serif"/>
                <w:b/>
                <w:color w:val="FFFFFF"/>
                <w:sz w:val="18"/>
              </w:rPr>
              <w:t>Fiscal 2023-2025 PRSUs</w:t>
            </w:r>
          </w:p>
        </w:tc>
        <w:tc>
          <w:tcPr>
            <w:tcW w:w="2953" w:type="dxa"/>
            <w:gridSpan w:val="14"/>
            <w:tcBorders/>
          </w:tcPr>
          <w:p>
            <w:pPr>
              <w:pStyle w:val="TableContents"/>
              <w:bidi w:val="0"/>
              <w:spacing w:before="0" w:after="283"/>
              <w:jc w:val="left"/>
              <w:rPr>
                <w:sz w:val="4"/>
                <w:szCs w:val="4"/>
              </w:rPr>
            </w:pPr>
            <w:r>
              <w:rPr>
                <w:sz w:val="4"/>
                <w:szCs w:val="4"/>
              </w:rPr>
            </w:r>
          </w:p>
        </w:tc>
      </w:tr>
      <w:tr>
        <w:trPr/>
        <w:tc>
          <w:tcPr>
            <w:tcW w:w="110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Period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Metric</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Weighted Performance</w:t>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7" w:type="dxa"/>
            <w:gridSpan w:val="38"/>
            <w:tcBorders/>
          </w:tcPr>
          <w:p>
            <w:pPr>
              <w:pStyle w:val="TableContents"/>
              <w:bidi w:val="0"/>
              <w:spacing w:before="0" w:after="283"/>
              <w:jc w:val="left"/>
              <w:rPr>
                <w:sz w:val="4"/>
                <w:szCs w:val="4"/>
              </w:rPr>
            </w:pPr>
            <w:r>
              <w:rPr>
                <w:sz w:val="4"/>
                <w:szCs w:val="4"/>
              </w:rPr>
            </w:r>
          </w:p>
        </w:tc>
      </w:tr>
      <w:tr>
        <w:trPr/>
        <w:tc>
          <w:tcPr>
            <w:tcW w:w="1102"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10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472" w:type="dxa"/>
            <w:gridSpan w:val="6"/>
            <w:tcBorders/>
          </w:tcPr>
          <w:p>
            <w:pPr>
              <w:pStyle w:val="TableContents"/>
              <w:bidi w:val="0"/>
              <w:spacing w:before="0" w:after="283"/>
              <w:jc w:val="left"/>
              <w:rPr>
                <w:sz w:val="4"/>
                <w:szCs w:val="4"/>
              </w:rPr>
            </w:pPr>
            <w:r>
              <w:rPr>
                <w:sz w:val="4"/>
                <w:szCs w:val="4"/>
              </w:rPr>
            </w:r>
          </w:p>
        </w:tc>
      </w:tr>
      <w:tr>
        <w:trPr/>
        <w:tc>
          <w:tcPr>
            <w:tcW w:w="110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1472" w:type="dxa"/>
            <w:gridSpan w:val="6"/>
            <w:tcBorders/>
          </w:tcPr>
          <w:p>
            <w:pPr>
              <w:pStyle w:val="TableContents"/>
              <w:bidi w:val="0"/>
              <w:spacing w:before="0" w:after="283"/>
              <w:jc w:val="left"/>
              <w:rPr>
                <w:sz w:val="4"/>
                <w:szCs w:val="4"/>
              </w:rPr>
            </w:pPr>
            <w:r>
              <w:rPr>
                <w:sz w:val="4"/>
                <w:szCs w:val="4"/>
              </w:rPr>
            </w:r>
          </w:p>
        </w:tc>
      </w:tr>
      <w:tr>
        <w:trPr/>
        <w:tc>
          <w:tcPr>
            <w:tcW w:w="6309" w:type="dxa"/>
            <w:gridSpan w:val="25"/>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r>
              <w:rPr>
                <w:color w:val="000000"/>
              </w:rPr>
              <w:t xml:space="preserve"> </w:t>
            </w:r>
            <w:r>
              <w:rPr>
                <w:rFonts w:ascii="Times New Roman;serif" w:hAnsi="Times New Roman;serif"/>
                <w:b w:val="false"/>
                <w:color w:val="000000"/>
                <w:sz w:val="18"/>
              </w:rPr>
              <w:t>Final Vesting Percentage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2953" w:type="dxa"/>
            <w:gridSpan w:val="14"/>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03" w:type="dxa"/>
            <w:gridSpan w:val="10"/>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03" w:type="dxa"/>
            <w:gridSpan w:val="10"/>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7" w:type="dxa"/>
            <w:gridSpan w:val="38"/>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Employee Benefit Programs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to participate in all of our employee benefit plans offered to U.S. employees, including our 401(k) plan, employee stock purchase plan, and medical, dental, life and disability insurance plans, in each case on the same basis as other U.S. employees, except our executive officers, including our named executive officers, are also eligible for certain additional company-paid executive life insurance and executive long-term disability insurance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Perquisites and Other Personal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do not provide perquisites to our executives, other than company-paid executive life insurance and executive long-term disability insurance premiums, reimbursement for relocation expenses, as needed, and certain other de minimis perquisites to our executive officers, including our named executive officers. In the future, we may provide perquisites or other personal benefits in limited circumstances, such as where we believe it is appropriate to assist an individual in the performance of his or her duties, to make our executive team more efficient and effective, or for recruitment or retention purposes. All future practices with respect to perquisites or other benefits for our named executive officers will be subject to review and approval by our 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401(k) plan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tax-qualified retirement plan that provides eligible U.S. employees, including named executive officers, with an opportunity to save for retirement on a tax-advantaged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Plan participants are able to defer eligible compensation subject to applicable annual limits under the Internal Revenue Code of 1986, as amended (the Code). We now provide a matching contribution of 50% of employee contributions up to 4% of compensation, which vests after two years of service. During the first half of fiscal 2025 we provided a matching contribution of 100% of employee contributions up to 4% of compensation, which were paused during the second half of fiscal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 and all contributions are deductible by us when made.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employment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initially entered into an offer letter with each of the named executive officers in connection with his or her employment with us, which set forth the terms and conditions of his or her employment. Each named executive officer also entered into our standard employee agreement and invention and confidentiality agreement. In connection with our IPO, we have adopted an executive severance plan (the Executive Severance Plan) providing for cash severance upon certain terminations of employment and “double-trigger” equity vesting acceleration in the event of certain terminations of employment in connection with or following a sale of the company. Each of our named executive officers participates in the Executive Severance Plan and the Executive Severance Plan replaces the severance provisions in such named executive officers’ offer letters,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Severance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Executive Severance Plan provides that upon a termination of employment by us other than for “cause” (as defined in the Executive Severance Plan), or for death or “disability” (as defined in the Executive Severance Plan) outside of the “change in control period” (i.e., the period beginning on the date of a “change in control” (as defined in the Executive Severance Plan) and ending on the one-year anniversary of the change in control), the participant will be entitled to receive, subject to the execution and delivery of a separation agreement and release containing, among other provisions, an effective release of claims in favor of the company and reaffirmation of the “restrictive covenants agreement” (as defined in the Executive Severance Plan), (i) a severance amount equal to 12 months’ “base salary” (i.e., the higher of the annual base salary in effect immediately prior to the date of termination or the annual base salary in effect for the year immediately prior to the year in which the date of termination occurs) for a “Tier 1 Executive” (as defined in the Executive Severance Plan and which means the company’s chief executive officer, Mr. Burton) and 9 months’ base salary for a “Tier 2 Executive” (as defined in the Executive Severance Plan and which include the named executive officers other than Mr. Burton), payable over 12 months or 9 months, respectively, and (ii) monthly cash payments equal to the monthly employer contribution that we would have made to provide health insurance for the applicable participant if he or she had remained employed by us, based on the premiums as of the date of termination, for up to 12 months for a Tier 1 Executive and 9 months for a Tier 2 Executive; provided, that the participant was participating in our group health plan immediately prior to the date of termination and timely elects COBRA health continuation.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Executive Severance Plan also provides that upon a termination of employment by us other than for cause, death or disability or upon a resignation by an eligible participant for “good reason” (as defined in the Executive Severance Plan), in either case within the change in control period, the participant will be entitled to receive, in lieu of the payments and benefits described above and subject to the execution and delivery of a separation agreement and release containing, among other provisions, an effective release of claims in favor of the company and reaffirmation of the restrictive covenants agreement, (i) a lump sum cash severance amount equal to 150% of base salary for a Tier 1 Executive and 100% of base salary for a Tier 2 Executive, (ii) a lump sum amount equal to 150% for a Tier 1 Executive and 100% for a Tier 2 Executive, of the participant’s annual target bonus in effect immediately prior to such termination (or the participant’s annual target bonus in effect immediately prior to the change in control, if higher), (iii) a lump sum amount equal to the monthly employer contribution, based on the premiums as of the date of termination, that we would have made to provide health insurance for the participant if he or she had remained employed by us for 18 months for a Tier 1 Executive and 12 months for a Tier 2 Executive; provided, that the participant was participating in our group health plan immediately prior to the date of termination and timely elects COBRA health continuation, and (iv) for all outstanding and unvested equity awards of the company that are subject to time-based vesting held by the participant, full accelerated vesting of such awards; provided, that the performance conditions applicable to any outstanding and unvested equity awards subject to performance-based vesting will be deemed satisfied at the target level specified in the terms of the applicable award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to an eligible participant in connection with a change in control would be subject to the excise tax imposed under Section 4999 of the Code, then those payments or benefits will be reduced if such reduction would result in a greater net after-tax benefit to the applicable participant.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Individual agreements in place during the year ended December 31, 2025 for our named executive officers</w:t>
      </w:r>
    </w:p>
    <w:p>
      <w:pPr>
        <w:pStyle w:val="TextBody"/>
        <w:bidi w:val="0"/>
        <w:spacing w:lineRule="auto" w:line="333"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Daniel Burton</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26, 2011, we entered into an offer letter with Mr. Burton to serve as our Chief Executive Officer. The offer letter provides for Mr. Burton’s at-will employment and sets forth his initial annual base salary, initial target annual bonus, and his eligibility to participate in our benefit plans generally.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12, 2026 and February 17, 2026, Mr. Burton retired as Chief Executive Officer and resigned from our board, respectively. In connection with his retirement, we entered into a transition agreement with Mr. Burton. The transition agreement provides for an average monthly base salary of $10,000 beginning March 1, 2026 and healthcare continuation coverage in exchange for his continued employment, the forfeiture of all of his unvested restricted stock units and unvested performance-based stock units that are otherwise eligible for vesting after March 2, 2026 and a general release of claims. The transition agreement covers the period from March 1, 2026 through December 31, 2026, where Mr. Burton serves as senior advisor.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Jason Alger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4, 2013, we entered into an offer letter with Mr. Alger, who currently serves as our Chief Financial Officer. The offer letter provides for Mr. Alger’s at-will employment and sets forth his initial annual base salary, initial target annual bonus, and his eligibility to participate in our benefit plans generally.</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Benjamin Albert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22, 2025, we entered into an offer letter with Mr. Albert to serve as the Chief Executive Officer of the Upfront Healthcare Services business unit of the company. On September 16, 2025, Mr. Albert was appointed to the role of President and Chief Operating Officer of the Company. Effective February 12, 2026, Mr. Albert was appointed to the role of Chief Executive Officer of the Company and resigned as Chief Operating Officer. The offer letter provides for Mr. Albert’s at-will employment and sets forth his initial annual base salary, initial target annual bonus, and his eligibility to participate in our benefit plans generally.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Kevin Freeman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2020, we entered into an offer letter with Mr. Freeman, who served as our Chief Commercial Officer. The offer letter provides for Mr. Freeman’s at-will employment and sets forth his initial annual base salary, initial target annual bonus, and his eligibility to participate in our benefit plans generally.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 2026, Mr. Freeman ceased serving as Chief Commercial Officer. In connection, we entered into a separation agreement and a consulting agreement with Mr. Freeman. As part of his separation agreement, Mr. Freeman was entitled to receive (i) a cash payment of $307,500, which represented nine months of his salary payable in a cash lump sum, and (ii) COBRA continuation payments for up to nine months. As part of his consulting agreement, Mr. Freeman was entitled to continued vesting of RSUs and PRSUs previously granted when he was an employee that are eligible to vest on or before December 1, 2026. All RSUs and PRSUs previously granted that are scheduled to vest after December 1, 2026 were forfeited with no additional equity, cash or other forms of compensation as part of the separation and consulting agreements. The consulting agreement covers the period from February 2, 2025 through December 1, 2026, where Mr. Freeman serves as senior advisor, and in return he is receiving the benefits noted above. All of these payments and benefits were in exchange for Mr. Freeman’s execution of a general release of claims in favor of us and our affiliates.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Benjamin Landry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2023, we entered into an offer letter with Mr. Landry, who currently serves as our General Counsel. The offer letter provides for Mr. Landry’s at-will employment and sets forth his initial annual base salary, initial target annual bonus, and his eligibility to participate in our benefit plans generally.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Dan LeSueur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17, 2011, we entered into an offer letter with Mr. LeSueur, who served as our Chief Operating Officer. The offer letter provided for Mr. LeSueur’s at-will employment and set forth his initial annual base salary, initial target annual bonus, and his eligibility to participate in our benefit plans generally.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September 15, 2025, Mr. LeSueur ceased serving as Chief Operating Officer. In connection therewith, we entered into a separation agreement and a consulting agreement with Mr. LeSueur. As part of his separation agreement, Mr. LeSueur was entitled to receive (i) a cash payment of $270,000, which represented nine months of his salary payable in a cash lump sum, and (ii) COBRA continuation payments for up to nine months. As part of his consulting agreement, Mr. LeSueur was entitled to continued vesting of RSUs and PRSUs previously granted when he was an employee that were eligible to vest on or before March 15, 2026. All RSUs and PRSUs previously granted that were scheduled to vest after March 15, 2026, were forfeited with no additional equity, cash or other forms of compensation as part of the separation and consulting agreements. The consulting agreement covered the period from September 15, 2025 through March 15, 2026, where Mr. LeSueur served as senior advisor, and in return he received the benefits noted above. All of these payments and benefits were in exchange for Mr. LeSueur’s execution of a general release of claims in favor of us and our affiliates. Mr. LeSueur is no longer providing services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Compensation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Award Grant Policy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has adopted an “Equity Award Grant Policy.” Under this policy, we generally grant equity awards on a regularly-scheduled basis to enhance the effectiveness of our internal control over our equity award grant process. Pursuant to the Equity Award Grant Policy, which was most recently amended in February 2021, our compensation committee has delegated certain limited authority to a delegated committee, made up of our CEO and Chief Financial Officer, to grant routine new hire, promotion, refresh, and certain other equity awards to employees within equity guidelines reviewed and approved from time to time by our compensation committee and subject to other limitations and requirements. The delegated committee may not grant equity awards to its members and the other four highest paid executive officers, or equity awards that would cause the aggregate grant date fair value of equity grants to an individual to exceed $1,500,000. Grants of equity awards are generally made quarterly and will be effective on the date such grant is approved by our compensation committee or delegated committee, as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Policy Prohibiting Hedging and Pledging of Company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insider trading policies prohibit the members of our board and all employees, including our executive officers, from engaging in derivative securities transactions, including hedging, with respect to our securities, and from pledging our securities as collateral for a loan or holding company securities in a margin account. Our insider trading policies require that our named executive officers may trade in our securities only pursuant to trading plans that comply with Rule 10b5-1 under the Exchange Act. Certain other employees and our directors are subject to certain pre-clearance procedures in order to trade in our securities or may trade pursuant to trading plans that comply with Rule 10b5-1.</w:t>
      </w:r>
    </w:p>
    <w:p>
      <w:pPr>
        <w:pStyle w:val="TextBody"/>
        <w:bidi w:val="0"/>
        <w:spacing w:before="0" w:after="0"/>
        <w:jc w:val="both"/>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THE COMPENSATION COMMITTEE OF THE BOARD OF DIRECTORS</w:t>
      </w:r>
    </w:p>
    <w:p>
      <w:pPr>
        <w:pStyle w:val="TextBody"/>
        <w:bidi w:val="0"/>
        <w:spacing w:before="120" w:after="283"/>
        <w:jc w:val="center"/>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information contained in this compensation committee report shall not be deemed to be “soliciting material,” “filed” with the SEC, subject to Regulations 14A or 14C of the Exchange Act, or subject to the liabilities of Section 18 of the Exchange Act. No portion of this compensation committee report shall be deemed to be incorporated by reference into any filing under the Securities Act or the Exchange Act, through any general statement incorporating by reference in its entirety the Amendment in which this report appears, except to the extent that Health Catalyst specifically incorporates this report or a portion of it by reference. In addition, this report shall not be deemed filed under either the Securities Act or the Exchange 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the section captioned “Executive Compensation” with the company’s management team. Based on such review and discussions, the compensation committee recommended to the board of directors that this Compensation Discussion and Analysis be included in this Annual Report on Form 10-K for the fiscal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MEMBERS OF THE COMPENSATION COMMITTEE:</w:t>
      </w:r>
    </w:p>
    <w:tbl>
      <w:tblPr>
        <w:tblW w:w="2310" w:type="dxa"/>
        <w:jc w:val="lef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Larson-Green (Chair)</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Hoggard Green</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 xml:space="preserve">Summary Compensation Table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total compensation awarded to, earned by, and paid to our named executive officers for services rendered to us in all capacities for the fiscal years ended December 31, 2025, 2024, and 2023 (or shorter time as a named executive officer). </w:t>
      </w:r>
    </w:p>
    <w:tbl>
      <w:tblPr>
        <w:tblW w:w="10718" w:type="dxa"/>
        <w:jc w:val="left"/>
        <w:tblInd w:w="0" w:type="dxa"/>
        <w:tblLayout w:type="fixed"/>
        <w:tblCellMar>
          <w:top w:w="28" w:type="dxa"/>
          <w:left w:w="28" w:type="dxa"/>
          <w:bottom w:w="28" w:type="dxa"/>
          <w:right w:w="28" w:type="dxa"/>
        </w:tblCellMar>
      </w:tblPr>
      <w:tblGrid>
        <w:gridCol w:w="489"/>
        <w:gridCol w:w="258"/>
        <w:gridCol w:w="259"/>
        <w:gridCol w:w="109"/>
        <w:gridCol w:w="109"/>
        <w:gridCol w:w="109"/>
        <w:gridCol w:w="160"/>
        <w:gridCol w:w="160"/>
        <w:gridCol w:w="161"/>
        <w:gridCol w:w="109"/>
        <w:gridCol w:w="109"/>
        <w:gridCol w:w="109"/>
        <w:gridCol w:w="196"/>
        <w:gridCol w:w="736"/>
        <w:gridCol w:w="109"/>
        <w:gridCol w:w="109"/>
        <w:gridCol w:w="109"/>
        <w:gridCol w:w="109"/>
        <w:gridCol w:w="368"/>
        <w:gridCol w:w="368"/>
        <w:gridCol w:w="216"/>
        <w:gridCol w:w="109"/>
        <w:gridCol w:w="109"/>
        <w:gridCol w:w="109"/>
        <w:gridCol w:w="196"/>
        <w:gridCol w:w="871"/>
        <w:gridCol w:w="109"/>
        <w:gridCol w:w="109"/>
        <w:gridCol w:w="109"/>
        <w:gridCol w:w="109"/>
        <w:gridCol w:w="351"/>
        <w:gridCol w:w="728"/>
        <w:gridCol w:w="197"/>
        <w:gridCol w:w="109"/>
        <w:gridCol w:w="109"/>
        <w:gridCol w:w="109"/>
        <w:gridCol w:w="262"/>
        <w:gridCol w:w="866"/>
        <w:gridCol w:w="148"/>
        <w:gridCol w:w="109"/>
        <w:gridCol w:w="109"/>
        <w:gridCol w:w="109"/>
        <w:gridCol w:w="196"/>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 and Principal Position</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Year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Bonus</w:t>
            </w:r>
            <w:r>
              <w:rPr>
                <w:rFonts w:ascii="Times New Roman;serif" w:hAnsi="Times New Roman;serif"/>
                <w:b/>
                <w:color w:val="FFFFFF"/>
                <w:sz w:val="12"/>
              </w:rPr>
              <w:t>(1)</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Stock Awards</w:t>
            </w:r>
            <w:r>
              <w:rPr>
                <w:rFonts w:ascii="Times New Roman;serif" w:hAnsi="Times New Roman;serif"/>
                <w:b/>
                <w:color w:val="FFFFFF"/>
                <w:sz w:val="12"/>
              </w:rPr>
              <w:t>(2)</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Nonequity Incentive Plan Compensation</w:t>
            </w:r>
            <w:r>
              <w:rPr>
                <w:rFonts w:ascii="Times New Roman;serif" w:hAnsi="Times New Roman;serif"/>
                <w:b/>
                <w:color w:val="FFFFFF"/>
                <w:sz w:val="12"/>
              </w:rPr>
              <w:t>(3)</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All Other Compensation</w:t>
            </w:r>
            <w:r>
              <w:rPr>
                <w:rFonts w:ascii="Times New Roman;serif" w:hAnsi="Times New Roman;serif"/>
                <w:b/>
                <w:color w:val="FFFFFF"/>
                <w:sz w:val="12"/>
              </w:rPr>
              <w:t>(4)</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Total</w:t>
            </w:r>
          </w:p>
        </w:tc>
      </w:tr>
      <w:tr>
        <w:trPr/>
        <w:tc>
          <w:tcPr>
            <w:tcW w:w="100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Daniel Burton</w:t>
            </w:r>
            <w:r>
              <w:rPr>
                <w:rFonts w:ascii="Times New Roman;serif" w:hAnsi="Times New Roman;serif"/>
                <w:b w:val="false"/>
                <w:color w:val="000000"/>
                <w:sz w:val="12"/>
              </w:rPr>
              <w:t>(5)</w:t>
            </w:r>
            <w:r>
              <w:rPr>
                <w:rFonts w:ascii="Times New Roman;serif" w:hAnsi="Times New Roman;serif"/>
                <w:b w:val="false"/>
                <w:color w:val="000000"/>
                <w:sz w:val="18"/>
              </w:rPr>
              <w:t xml:space="preserve">, </w:t>
            </w:r>
            <w:r>
              <w:rPr>
                <w:rFonts w:ascii="Times New Roman;serif" w:hAnsi="Times New Roman;serif"/>
                <w:b w:val="false"/>
                <w:i/>
                <w:color w:val="000000"/>
                <w:sz w:val="18"/>
              </w:rPr>
              <w:t>Chief Executive Officer</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3,444,040 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48"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3,991,159 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Jason Alger, </w:t>
            </w:r>
            <w:r>
              <w:rPr>
                <w:rFonts w:ascii="Times New Roman;serif" w:hAnsi="Times New Roman;serif"/>
                <w:b w:val="false"/>
                <w:i/>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Benjamin Albert</w:t>
            </w:r>
            <w:r>
              <w:rPr>
                <w:rFonts w:ascii="Times New Roman;serif" w:hAnsi="Times New Roman;serif"/>
                <w:b w:val="false"/>
                <w:color w:val="000000"/>
                <w:sz w:val="12"/>
              </w:rPr>
              <w:t>(6)</w:t>
            </w:r>
            <w:r>
              <w:rPr>
                <w:rFonts w:ascii="Times New Roman;serif" w:hAnsi="Times New Roman;serif"/>
                <w:b w:val="false"/>
                <w:color w:val="000000"/>
                <w:sz w:val="18"/>
              </w:rPr>
              <w:t xml:space="preserve">, </w:t>
            </w:r>
            <w:r>
              <w:rPr>
                <w:rFonts w:ascii="Times New Roman;serif" w:hAnsi="Times New Roman;serif"/>
                <w:b w:val="false"/>
                <w:i/>
                <w:color w:val="000000"/>
                <w:sz w:val="18"/>
              </w:rPr>
              <w:t>Chief Operating Officer and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587,610 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Kevin Freeman, </w:t>
            </w:r>
            <w:r>
              <w:rPr>
                <w:rFonts w:ascii="Times New Roman;serif" w:hAnsi="Times New Roman;serif"/>
                <w:b w:val="false"/>
                <w:i/>
                <w:color w:val="000000"/>
                <w:sz w:val="18"/>
              </w:rPr>
              <w:t>Chief Commercial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Benjamin Landry, </w:t>
            </w:r>
            <w:r>
              <w:rPr>
                <w:rFonts w:ascii="Times New Roman;serif" w:hAnsi="Times New Roman;serif"/>
                <w:b w:val="false"/>
                <w:i/>
                <w:color w:val="000000"/>
                <w:sz w:val="18"/>
              </w:rPr>
              <w:t>General Counsel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Dan LeSueur, </w:t>
            </w:r>
            <w:r>
              <w:rPr>
                <w:rFonts w:ascii="Times New Roman;serif" w:hAnsi="Times New Roman;serif"/>
                <w:b w:val="false"/>
                <w:i/>
                <w:color w:val="000000"/>
                <w:sz w:val="18"/>
              </w:rPr>
              <w:t>former Chief Operating Officer</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1"/>
        <w:gridCol w:w="2864"/>
        <w:gridCol w:w="4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represents an acquisition-related bonus paid to Mr. Albert that was funded by the stockholders of Upfront Healthcare Services, Inc. in connection with its acquisition by our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There were no stock options granted during the years presented. The reported amounts represent the aggregate grant date fair value of awards of RSUs and PRSUs granted in each year presented, computed in accordance with FASB ASC Topic 718, excluding the estimate of forfeitures not related to the performance-based vesting of PRSUs. Amounts reflect the fair value of each award based on the closing price of our common stock on the Nasdaq Global Select Market on the date of grant of the award. The grant date fair value of the PRSUs is based on the probable outcome of the vesting conditions as of the grant date. For fiscal 2025, the grant date fair value of all annual bonus PRSUs at maximum performance achievement, are $384,624, $202,388, $61,950, $300,375, $165,208, and $228,214 for Messrs. Burton, Alger, Albert, Freeman, Landry, and LeSueur. For fiscal 2025, the grant date fair value of all long-term PRSUs at maximum performance achievement, are 1,463,976, $445,128, $611,470, 346,210, $237,401, and $380,832 for Messrs. Burton, Alger, Albert, Freeman, Landry, and LeSueur.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the cash amounts earned by our named executive officers under our short-term incentive plan (the Bonus Plan), based on our achievement of certain corporate performance goals. In fiscal 2025 the annual bonus payout consisted 100% of PRSUs and are included in the Stock Awards column above. For a description of the Bonus Plan, see the section titled “Compensation Discussion and Analysis – Annual Performance-Based Incentives” above.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For fiscal 2025, the amounts reported represent matching contributions made by us under our 401(k) plan ($13,313, $12,087, $6,555, $14,000, $9,036, and $12,819, for Messrs. Burton, Alger, Albert, Freeman, Landry, and LeSueur respectively), executive life insurance premiums paid by us ($578 for Mr. Burton and $348 for Mr. LeSueur), executive long-term disability insurance premiums paid by us ($8,228 for Mr. Burton and $505 for Mr. LeSueur), gift cards paid by us as part of a benefit provided to all team members ($154 for Mr. Alger and $712 for Mr. Freeman), and severance paid by us ($128,445 for Mr. LeSueur in fiscal 2025 with an additional $165,000 paid in January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Burton voluntarily reduced his cash and new equity compensation by 100% from July 2022 through December 2023 in response to the challenging macroeconomic environment and to lead by example as part of our cost reduction initiatives. As part of his compensation reduction, he also declined receiving the cash portion of his annual bonus for fiscal 2022 and 2023. Effective January 1, 2024, his base salary increased to $525,000.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Albert commenced employment with us in January 2025, and became our Chief Operating Officer and President effective September 15,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LeSueur ceased serving as Chief Operating Officer effective September 15, 2025. After stepping down, Mr. LeSueur continued to provide service to the company as an independent contractor and senior advisor until March 15,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Grants of Plan-Based Awards Table</w:t>
      </w:r>
    </w:p>
    <w:p>
      <w:pPr>
        <w:pStyle w:val="TextBody"/>
        <w:bidi w:val="0"/>
        <w:spacing w:lineRule="auto" w:line="288" w:before="0" w:after="0"/>
        <w:jc w:val="both"/>
        <w:rPr/>
      </w:pPr>
      <w:r>
        <w:rPr>
          <w:rFonts w:ascii="Times New Roman;serif" w:hAnsi="Times New Roman;serif"/>
          <w:b w:val="false"/>
          <w:color w:val="000000"/>
          <w:sz w:val="20"/>
        </w:rPr>
        <w:t xml:space="preserve">The following table shows information regarding grants of non-equity and equity awards that we made during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to each of the named executive officers listed in the Summary Compensation Table.</w:t>
      </w:r>
    </w:p>
    <w:tbl>
      <w:tblPr>
        <w:tblW w:w="10949" w:type="dxa"/>
        <w:jc w:val="left"/>
        <w:tblInd w:w="0" w:type="dxa"/>
        <w:tblLayout w:type="fixed"/>
        <w:tblCellMar>
          <w:top w:w="28" w:type="dxa"/>
          <w:left w:w="28" w:type="dxa"/>
          <w:bottom w:w="28" w:type="dxa"/>
          <w:right w:w="28" w:type="dxa"/>
        </w:tblCellMar>
      </w:tblPr>
      <w:tblGrid>
        <w:gridCol w:w="395"/>
        <w:gridCol w:w="192"/>
        <w:gridCol w:w="194"/>
        <w:gridCol w:w="109"/>
        <w:gridCol w:w="109"/>
        <w:gridCol w:w="109"/>
        <w:gridCol w:w="425"/>
        <w:gridCol w:w="215"/>
        <w:gridCol w:w="216"/>
        <w:gridCol w:w="109"/>
        <w:gridCol w:w="109"/>
        <w:gridCol w:w="109"/>
        <w:gridCol w:w="190"/>
        <w:gridCol w:w="190"/>
        <w:gridCol w:w="191"/>
        <w:gridCol w:w="109"/>
        <w:gridCol w:w="109"/>
        <w:gridCol w:w="109"/>
        <w:gridCol w:w="109"/>
        <w:gridCol w:w="109"/>
        <w:gridCol w:w="398"/>
        <w:gridCol w:w="109"/>
        <w:gridCol w:w="109"/>
        <w:gridCol w:w="109"/>
        <w:gridCol w:w="109"/>
        <w:gridCol w:w="109"/>
        <w:gridCol w:w="586"/>
        <w:gridCol w:w="206"/>
        <w:gridCol w:w="109"/>
        <w:gridCol w:w="109"/>
        <w:gridCol w:w="109"/>
        <w:gridCol w:w="109"/>
        <w:gridCol w:w="506"/>
        <w:gridCol w:w="286"/>
        <w:gridCol w:w="109"/>
        <w:gridCol w:w="109"/>
        <w:gridCol w:w="109"/>
        <w:gridCol w:w="109"/>
        <w:gridCol w:w="506"/>
        <w:gridCol w:w="286"/>
        <w:gridCol w:w="109"/>
        <w:gridCol w:w="109"/>
        <w:gridCol w:w="721"/>
        <w:gridCol w:w="109"/>
        <w:gridCol w:w="109"/>
        <w:gridCol w:w="109"/>
        <w:gridCol w:w="406"/>
        <w:gridCol w:w="240"/>
        <w:gridCol w:w="241"/>
        <w:gridCol w:w="109"/>
        <w:gridCol w:w="109"/>
        <w:gridCol w:w="109"/>
        <w:gridCol w:w="253"/>
        <w:gridCol w:w="253"/>
        <w:gridCol w:w="365"/>
      </w:tblGrid>
      <w:tr>
        <w:trPr/>
        <w:tc>
          <w:tcPr>
            <w:tcW w:w="3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9"/>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Estimated future payouts under non-equity incentive plan awards ($)</w:t>
            </w:r>
            <w:r>
              <w:rPr>
                <w:rFonts w:ascii="Times New Roman;serif" w:hAnsi="Times New Roman;serif"/>
                <w:b/>
                <w:color w:val="FFFFFF"/>
                <w:sz w:val="10"/>
              </w:rPr>
              <w:t>(1)</w:t>
            </w:r>
            <w:r>
              <w:rPr>
                <w:color w:val="FFFFFF"/>
              </w:rPr>
              <w:t xml:space="preserve"> </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6"/>
              </w:rPr>
            </w:pPr>
            <w:r>
              <w:rPr>
                <w:rFonts w:ascii="Times New Roman;serif" w:hAnsi="Times New Roman;serif"/>
                <w:b/>
                <w:color w:val="FFFFFF"/>
                <w:sz w:val="16"/>
              </w:rPr>
              <w:t xml:space="preserve">Estimated future payouts under equity incentive plan awards </w:t>
            </w:r>
          </w:p>
          <w:p>
            <w:pPr>
              <w:pStyle w:val="TableContents"/>
              <w:bidi w:val="0"/>
              <w:spacing w:lineRule="auto" w:line="240" w:before="0" w:after="0"/>
              <w:jc w:val="center"/>
              <w:rPr/>
            </w:pPr>
            <w:r>
              <w:rPr>
                <w:rFonts w:ascii="Times New Roman;serif" w:hAnsi="Times New Roman;serif"/>
                <w:b/>
                <w:color w:val="FFFFFF"/>
                <w:sz w:val="16"/>
              </w:rPr>
              <w:t>(# of PRSUs)</w:t>
            </w:r>
            <w:r>
              <w:rPr>
                <w:rFonts w:ascii="Times New Roman;serif" w:hAnsi="Times New Roman;serif"/>
                <w:b/>
                <w:color w:val="FFFFFF"/>
                <w:sz w:val="10"/>
              </w:rPr>
              <w:t>(2)</w:t>
            </w:r>
          </w:p>
        </w:tc>
        <w:tc>
          <w:tcPr>
            <w:tcW w:w="109" w:type="dxa"/>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vMerge w:val="restart"/>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8"/>
              </w:rPr>
            </w:pPr>
            <w:r>
              <w:rPr>
                <w:rFonts w:ascii="Times New Roman;serif" w:hAnsi="Times New Roman;serif"/>
                <w:b/>
                <w:color w:val="FFFFFF"/>
                <w:sz w:val="18"/>
              </w:rPr>
              <w:t xml:space="preserve">All Other Stock Awards </w:t>
            </w:r>
          </w:p>
          <w:p>
            <w:pPr>
              <w:pStyle w:val="TableContents"/>
              <w:bidi w:val="0"/>
              <w:spacing w:lineRule="auto" w:line="240" w:before="0" w:after="0"/>
              <w:jc w:val="center"/>
              <w:rPr/>
            </w:pPr>
            <w:r>
              <w:rPr>
                <w:rFonts w:ascii="Times New Roman;serif" w:hAnsi="Times New Roman;serif"/>
                <w:b/>
                <w:color w:val="FFFFFF"/>
                <w:sz w:val="18"/>
              </w:rPr>
              <w:t>(# of RSUs)</w:t>
            </w:r>
            <w:r>
              <w:rPr>
                <w:rFonts w:ascii="Times New Roman;serif" w:hAnsi="Times New Roman;serif"/>
                <w:b/>
                <w:color w:val="FFFFFF"/>
                <w:sz w:val="12"/>
              </w:rPr>
              <w:t>(3)</w:t>
            </w:r>
            <w:r>
              <w:rPr>
                <w:color w:val="FFFFFF"/>
              </w:rPr>
              <w:t xml:space="preserve"> </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vMerge w:val="restart"/>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Grant Date Fair Value of Stock Awards ($)</w:t>
            </w:r>
            <w:r>
              <w:rPr>
                <w:rFonts w:ascii="Times New Roman;serif" w:hAnsi="Times New Roman;serif"/>
                <w:b/>
                <w:color w:val="FFFFFF"/>
                <w:sz w:val="12"/>
              </w:rPr>
              <w:t>(4)</w:t>
            </w:r>
          </w:p>
        </w:tc>
        <w:tc>
          <w:tcPr>
            <w:tcW w:w="1198" w:type="dxa"/>
            <w:gridSpan w:val="6"/>
            <w:tcBorders/>
          </w:tcPr>
          <w:p>
            <w:pPr>
              <w:pStyle w:val="TableContents"/>
              <w:bidi w:val="0"/>
              <w:spacing w:before="0" w:after="283"/>
              <w:jc w:val="left"/>
              <w:rPr>
                <w:sz w:val="4"/>
                <w:szCs w:val="4"/>
              </w:rPr>
            </w:pPr>
            <w:r>
              <w:rPr>
                <w:sz w:val="4"/>
                <w:szCs w:val="4"/>
              </w:rPr>
            </w:r>
          </w:p>
        </w:tc>
      </w:tr>
      <w:tr>
        <w:trPr/>
        <w:tc>
          <w:tcPr>
            <w:tcW w:w="78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Award Type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Grant Date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Target (100%)</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Maximum (130%)</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Target/Maximum (100%)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vMerge w:val="continue"/>
            <w:tcBorders/>
            <w:shd w:fill="026DCE"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vMerge w:val="continue"/>
            <w:tcBorders/>
            <w:shd w:fill="026DCE" w:val="clear"/>
            <w:tcMar>
              <w:top w:w="0" w:type="dxa"/>
              <w:left w:w="0" w:type="dxa"/>
              <w:bottom w:w="0" w:type="dxa"/>
              <w:right w:w="0" w:type="dxa"/>
            </w:tcMar>
            <w:vAlign w:val="center"/>
          </w:tcPr>
          <w:p>
            <w:pPr>
              <w:pStyle w:val="Normal"/>
              <w:bidi w:val="0"/>
              <w:jc w:val="left"/>
              <w:rPr/>
            </w:pPr>
            <w:r>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Daniel Burton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84,951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384,624</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1,463,976</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1,595,440</w:t>
            </w:r>
          </w:p>
        </w:tc>
      </w:tr>
      <w:tr>
        <w:trPr/>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202,388</w:t>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445,128</w:t>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975,590</w:t>
            </w:r>
          </w:p>
        </w:tc>
      </w:tr>
      <w:tr>
        <w:trPr/>
        <w:tc>
          <w:tcPr>
            <w:tcW w:w="78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Benjamin Albert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61,950</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611,470</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80,100</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1,335,620</w:t>
            </w:r>
          </w:p>
        </w:tc>
      </w:tr>
      <w:tr>
        <w:trPr/>
        <w:tc>
          <w:tcPr>
            <w:tcW w:w="7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Kevin Freeman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300,375</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346,210</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754,600</w:t>
            </w:r>
          </w:p>
        </w:tc>
      </w:tr>
      <w:tr>
        <w:trPr/>
        <w:tc>
          <w:tcPr>
            <w:tcW w:w="78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Benjamin Landry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165,208</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237,401</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525,525</w:t>
            </w:r>
          </w:p>
        </w:tc>
      </w:tr>
      <w:tr>
        <w:trPr/>
        <w:tc>
          <w:tcPr>
            <w:tcW w:w="7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Dan LeSueur</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228,214</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380,832</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781,550</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19"/>
        <w:gridCol w:w="2657"/>
        <w:gridCol w:w="37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Bonus Plan for fiscal 2025 was paid 100% through PRSUs and there was no cash portion of the Bonus Plan for fiscal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These columns set forth the fiscal 2025 target annual bonus PRSU and Long-term PRSU amounts for each of our named executive officers.</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Each named executive officer was granted 2025 annual bonus PRSUs with a one-year measurement period that includes various improvement, growth, and scale targets for client and team member satisfaction (7% weighted), client measurable improvements (7%), timely project completion (7%), net new Platform Clients (10%), new Platform Client ARR+NRR (15%), Platform Client Dollar-based Net Retention (15%), and Adjusted EBITDA (40%). These PRSUs may vest in an amount up to the amount granted, subject to satisfaction of the performance. There is a minimum annual threshold level of achievement for each individual metric that is 50% of each individual metric’s “Target” level, whereby performance below that threshold results in 0% achievement for that specific metric. The “Maximum” level of attainment for the annual bonus PRSUs granted in fiscal 2025 is equal to the “Target” level. Target bonuses were set as a percentage of each named executive officer’s initially expected salary at the end of fiscal 2025 as follows: 100% for Messrs. Burton and Freeman, 65% for Mr. Alger, 35% for Mr. Albert, 55%, for Mr. Landry, and 70% for Mr. LeSueur. For a description of the Bonus Plan, see the section titled “Compensation Discussion and Analysis – Annual Performance-Based Incentives” above.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Each named executive officer was also granted long-term PRSUs with a three-year measurement period that includes market and performance targets for TSR Achievement (25% weighted), Revenue Growth Rate Achievement (25% weighted), and Adjusted EBITDA Margin Achievement (50% weighted). These PRSUs may vest in an amount up to the amount granted, subject to satisfaction of the performance targets. The number of PRSUs that will vest for the 2025, 2026, and 2027 vesting periods will be calculated as follows: (i) the performance achievement for the applicable vesting period, multiplied by (ii) approximately 33.33% of the PRSUs for each of the 2025, 2026, and 2027 vesting periods, each rounded to the nearest whole share.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05"/>
        <w:gridCol w:w="2796"/>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There is a minimum annual threshold level of achievement for each individual metric that is 75% of each individual metric’s “Target” level, whereby performance below that threshold results in 0% achievement for that specific metric. The “Maximum” level of attainment for the long-term PRSUs granted in fiscal 2025 is equal to the “Target” level. The actual amounts of long-term PRSUs that vested based on the 2025 vesting period market and performance conditions are set forth within a table in the “Performance in Fiscal 2025 and Payouts” section above. For further information regarding the terms of these awards, see the section titled “Elements of Our Executive Compensation Program”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Annual RSUs were granted under the 2019 Plan. Each of the annual RSU awards other than those granted to Mr. Albert vested as to 33.33% of the shares of common stock underlying the RSU award upon the one-year anniversary of December 1, 2025 and vest as to the remainder of the shares in 8 equal quarterly installments thereafter, subject to the applicable named executive officer’s continued service through the applicable vesting dates. Mr. Albert’s initial RSU grant on March 17, 2025, vested as to 25% of the shares of common stock underlying the RSU award upon the one-year anniversary of March 1, 2026, and vest to the remainder of the shares in 12 equal quarterly installments thereafter, while the RSU grant on September 10, 2025, vested as to 16.7% of the shares of common stock underlying the RSU award upon the six-month anniversary of March 10, 2026, and vest to the remainder of the shares in 10 equal quarterly installments thereafter, subject to his continued service through the applicable vesting 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reported amounts represent the aggregate grant date fair value of awards of RSUs and PRSUs granted computed in accordance with FASB ASC Topic 718, excluding the estimate of forfeitures not related to the performance-based vesting of PRSUs. Amounts reflect the fair value of each award based on the closing price of our common stock on the Nasdaq Global Select Market on the date of grant of the award. The grant date fair value of the annual bonus and long-term PRSUs is based on the probable outcome of the market and performance vesting conditions as of the grant date. The assumptions used in calculating the grant date fair value of the stock awards reported in this column are set forth in Note 14 of our consolidated financial statements included in our Annual Report on Form 10-K for the fiscal year ended December 31, 2025. The amounts reported in this column reflect the initially estimated accounting cost for these stock awards and do not correspond to the actual economic value that may be received by our named executive officers upon the vesting of the restricted stock unit awards or any sale of the underlying shares of common stock.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Effective February 1, 2026, Mr. Freeman ceased serving as Chief Commercial Officer. In connection, we entered into a separation agreement and a consulting agreement with Mr. Freeman. As part of his separation agreement, Mr. Freeman was entitled to receive continued vesting of the RSUs and PRSUs previously granted when he was an employee that are eligible to vest on or before December 1, 2026. All RSUs and PRSUs previously granted that are scheduled to vest after December 1, 2026 were forfeited.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Effective September 15, 2025, Mr. LeSueur ceased serving as Chief Operating Officer. In connection, we entered into a separation agreement and a consulting agreement with Mr. LeSueur. As part of his separation agreement, Mr. LeSueur was entitled to receive continued vesting of the Company’s RSUs and PRSUs previously granted when he was an employee that are eligible to vest on or before March 15, 2026. All RSUs and PRSUs previously granted that are scheduled to vest after March 15, 2026, were forfeited.</w:t>
            </w:r>
          </w:p>
        </w:tc>
      </w:tr>
    </w:tbl>
    <w:p>
      <w:pPr>
        <w:pStyle w:val="TextBody"/>
        <w:bidi w:val="0"/>
        <w:spacing w:lineRule="auto" w:line="288" w:before="0" w:after="60"/>
        <w:jc w:val="left"/>
        <w:rPr/>
      </w:pPr>
      <w:r>
        <w:rPr>
          <w:rFonts w:ascii="Times New Roman;serif" w:hAnsi="Times New Roman;serif"/>
          <w:b/>
          <w:color w:val="000000"/>
          <w:sz w:val="20"/>
        </w:rPr>
        <w:t xml:space="preserve">Outstanding Equity Awards at </w:t>
      </w: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Year-end</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outstanding equity awards held by our named executive officers as of December 31, 2025: </w:t>
      </w:r>
    </w:p>
    <w:tbl>
      <w:tblPr>
        <w:tblW w:w="14494" w:type="dxa"/>
        <w:jc w:val="left"/>
        <w:tblInd w:w="0" w:type="dxa"/>
        <w:tblLayout w:type="fixed"/>
        <w:tblCellMar>
          <w:top w:w="28" w:type="dxa"/>
          <w:left w:w="28" w:type="dxa"/>
          <w:bottom w:w="28" w:type="dxa"/>
          <w:right w:w="28" w:type="dxa"/>
        </w:tblCellMar>
      </w:tblPr>
      <w:tblGrid>
        <w:gridCol w:w="228"/>
        <w:gridCol w:w="200"/>
        <w:gridCol w:w="203"/>
        <w:gridCol w:w="109"/>
        <w:gridCol w:w="109"/>
        <w:gridCol w:w="109"/>
        <w:gridCol w:w="190"/>
        <w:gridCol w:w="190"/>
        <w:gridCol w:w="191"/>
        <w:gridCol w:w="109"/>
        <w:gridCol w:w="109"/>
        <w:gridCol w:w="109"/>
        <w:gridCol w:w="420"/>
        <w:gridCol w:w="420"/>
        <w:gridCol w:w="421"/>
        <w:gridCol w:w="109"/>
        <w:gridCol w:w="109"/>
        <w:gridCol w:w="109"/>
        <w:gridCol w:w="539"/>
        <w:gridCol w:w="197"/>
        <w:gridCol w:w="197"/>
        <w:gridCol w:w="197"/>
        <w:gridCol w:w="197"/>
        <w:gridCol w:w="201"/>
        <w:gridCol w:w="109"/>
        <w:gridCol w:w="109"/>
        <w:gridCol w:w="109"/>
        <w:gridCol w:w="109"/>
        <w:gridCol w:w="109"/>
        <w:gridCol w:w="706"/>
        <w:gridCol w:w="196"/>
        <w:gridCol w:w="556"/>
        <w:gridCol w:w="109"/>
        <w:gridCol w:w="295"/>
        <w:gridCol w:w="295"/>
        <w:gridCol w:w="296"/>
        <w:gridCol w:w="125"/>
        <w:gridCol w:w="110"/>
        <w:gridCol w:w="111"/>
        <w:gridCol w:w="230"/>
        <w:gridCol w:w="230"/>
        <w:gridCol w:w="231"/>
        <w:gridCol w:w="271"/>
        <w:gridCol w:w="271"/>
        <w:gridCol w:w="149"/>
        <w:gridCol w:w="215"/>
        <w:gridCol w:w="215"/>
        <w:gridCol w:w="216"/>
        <w:gridCol w:w="239"/>
        <w:gridCol w:w="497"/>
        <w:gridCol w:w="109"/>
        <w:gridCol w:w="135"/>
        <w:gridCol w:w="135"/>
        <w:gridCol w:w="135"/>
        <w:gridCol w:w="601"/>
        <w:gridCol w:w="135"/>
        <w:gridCol w:w="136"/>
        <w:gridCol w:w="109"/>
        <w:gridCol w:w="109"/>
        <w:gridCol w:w="109"/>
        <w:gridCol w:w="270"/>
        <w:gridCol w:w="270"/>
        <w:gridCol w:w="271"/>
        <w:gridCol w:w="239"/>
        <w:gridCol w:w="497"/>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31"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12"/>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8"/>
              </w:rPr>
              <w:t>Option Awards</w:t>
            </w:r>
            <w:r>
              <w:rPr>
                <w:rFonts w:ascii="Times New Roman;serif" w:hAnsi="Times New Roman;serif"/>
                <w:b/>
                <w:color w:val="FFFFFF"/>
                <w:sz w:val="12"/>
              </w:rPr>
              <w:t>(1)</w:t>
            </w:r>
          </w:p>
        </w:tc>
        <w:tc>
          <w:tcPr>
            <w:tcW w:w="86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4"/>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88" w:before="0" w:after="0"/>
              <w:jc w:val="center"/>
              <w:rPr/>
            </w:pPr>
            <w:r>
              <w:rPr>
                <w:rFonts w:ascii="Times New Roman;serif" w:hAnsi="Times New Roman;serif"/>
                <w:b/>
                <w:color w:val="FFFFFF"/>
                <w:sz w:val="18"/>
              </w:rPr>
              <w:t>Stock Awards</w:t>
            </w:r>
            <w:r>
              <w:rPr>
                <w:rFonts w:ascii="Times New Roman;serif" w:hAnsi="Times New Roman;serif"/>
                <w:b/>
                <w:color w:val="FFFFFF"/>
                <w:sz w:val="12"/>
              </w:rPr>
              <w:t>(1)</w:t>
            </w:r>
          </w:p>
        </w:tc>
        <w:tc>
          <w:tcPr>
            <w:tcW w:w="2028" w:type="dxa"/>
            <w:gridSpan w:val="9"/>
            <w:tcBorders/>
          </w:tcPr>
          <w:p>
            <w:pPr>
              <w:pStyle w:val="TableContents"/>
              <w:bidi w:val="0"/>
              <w:spacing w:before="0" w:after="283"/>
              <w:jc w:val="left"/>
              <w:rPr>
                <w:sz w:val="4"/>
                <w:szCs w:val="4"/>
              </w:rPr>
            </w:pPr>
            <w:r>
              <w:rPr>
                <w:sz w:val="4"/>
                <w:szCs w:val="4"/>
              </w:rPr>
            </w:r>
          </w:p>
        </w:tc>
      </w:tr>
      <w:tr>
        <w:trPr/>
        <w:tc>
          <w:tcPr>
            <w:tcW w:w="631" w:type="dxa"/>
            <w:gridSpan w:val="3"/>
            <w:tcBorders>
              <w:left w:val="single" w:sz="8" w:space="0" w:color="FFFFFF"/>
              <w:bottom w:val="single" w:sz="8" w:space="0" w:color="FFFFFF"/>
            </w:tcBorders>
            <w:shd w:fill="026DCE"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Grant Date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Vesting Commencement Date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Securities Underlying Unexercised Options (#) Exercisable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Option Exercise Price ($)</w:t>
            </w:r>
          </w:p>
        </w:tc>
        <w:tc>
          <w:tcPr>
            <w:tcW w:w="86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Option Expiration Date</w:t>
            </w:r>
          </w:p>
        </w:tc>
        <w:tc>
          <w:tcPr>
            <w:tcW w:w="346"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Number of Shares or Units of Stock that Have not Vested (#)</w:t>
            </w:r>
            <w:r>
              <w:rPr>
                <w:rFonts w:ascii="Times New Roman;serif" w:hAnsi="Times New Roman;serif"/>
                <w:b/>
                <w:color w:val="FFFFFF"/>
                <w:sz w:val="10"/>
              </w:rPr>
              <w:t>(2)</w:t>
            </w:r>
          </w:p>
        </w:tc>
        <w:tc>
          <w:tcPr>
            <w:tcW w:w="69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Market Value of Shares or Units of Stock that Have not Vested ($)</w:t>
            </w:r>
            <w:r>
              <w:rPr>
                <w:rFonts w:ascii="Times New Roman;serif" w:hAnsi="Times New Roman;serif"/>
                <w:b/>
                <w:color w:val="FFFFFF"/>
                <w:sz w:val="10"/>
              </w:rPr>
              <w:t>(3)</w:t>
            </w:r>
          </w:p>
        </w:tc>
        <w:tc>
          <w:tcPr>
            <w:tcW w:w="845"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Equity Incentive Plan Awards: Number of Unearned Units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FFFFFF"/>
                <w:sz w:val="16"/>
              </w:rPr>
              <w:t>Equity Incentive Plan Awards: Market Value of Unearned Units ($)</w:t>
            </w:r>
            <w:r>
              <w:rPr>
                <w:rFonts w:ascii="Times New Roman;serif" w:hAnsi="Times New Roman;serif"/>
                <w:b/>
                <w:color w:val="FFFFFF"/>
                <w:sz w:val="10"/>
              </w:rPr>
              <w:t>(3)</w:t>
            </w:r>
          </w:p>
        </w:tc>
        <w:tc>
          <w:tcPr>
            <w:tcW w:w="890" w:type="dxa"/>
            <w:gridSpan w:val="3"/>
            <w:tcBorders/>
          </w:tcPr>
          <w:p>
            <w:pPr>
              <w:pStyle w:val="TableContents"/>
              <w:bidi w:val="0"/>
              <w:spacing w:before="0" w:after="283"/>
              <w:jc w:val="left"/>
              <w:rPr>
                <w:sz w:val="4"/>
                <w:szCs w:val="4"/>
              </w:rPr>
            </w:pPr>
            <w:r>
              <w:rPr>
                <w:sz w:val="4"/>
                <w:szCs w:val="4"/>
              </w:rPr>
            </w:r>
          </w:p>
        </w:tc>
      </w:tr>
      <w:tr>
        <w:trPr/>
        <w:tc>
          <w:tcPr>
            <w:tcW w:w="63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Daniel Burton</w:t>
            </w:r>
            <w:r>
              <w:rPr>
                <w:rFonts w:ascii="Times New Roman;serif" w:hAnsi="Times New Roman;serif"/>
                <w:b w:val="false"/>
                <w:color w:val="000000"/>
                <w:sz w:val="10"/>
              </w:rPr>
              <w:t>(12)</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9/27/18</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9/25/18</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80,728 </w:t>
            </w:r>
          </w:p>
        </w:tc>
        <w:tc>
          <w:tcPr>
            <w:tcW w:w="19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4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9/27/28</w:t>
            </w:r>
          </w:p>
        </w:tc>
        <w:tc>
          <w:tcPr>
            <w:tcW w:w="69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107,873 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2/5/29</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83,333</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197,333</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471,626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166,667 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84,951 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10/26/27</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5/3/28</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9/27/28</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23,333</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120,667</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1"/>
        <w:gridCol w:w="255"/>
        <w:gridCol w:w="257"/>
        <w:gridCol w:w="109"/>
        <w:gridCol w:w="109"/>
        <w:gridCol w:w="109"/>
        <w:gridCol w:w="114"/>
        <w:gridCol w:w="114"/>
        <w:gridCol w:w="115"/>
        <w:gridCol w:w="109"/>
        <w:gridCol w:w="109"/>
        <w:gridCol w:w="109"/>
        <w:gridCol w:w="117"/>
        <w:gridCol w:w="113"/>
        <w:gridCol w:w="113"/>
        <w:gridCol w:w="109"/>
        <w:gridCol w:w="109"/>
        <w:gridCol w:w="109"/>
        <w:gridCol w:w="203"/>
        <w:gridCol w:w="203"/>
        <w:gridCol w:w="116"/>
        <w:gridCol w:w="109"/>
        <w:gridCol w:w="109"/>
        <w:gridCol w:w="109"/>
        <w:gridCol w:w="109"/>
        <w:gridCol w:w="109"/>
        <w:gridCol w:w="109"/>
        <w:gridCol w:w="109"/>
        <w:gridCol w:w="109"/>
        <w:gridCol w:w="109"/>
        <w:gridCol w:w="203"/>
        <w:gridCol w:w="203"/>
        <w:gridCol w:w="109"/>
        <w:gridCol w:w="109"/>
        <w:gridCol w:w="109"/>
        <w:gridCol w:w="109"/>
        <w:gridCol w:w="115"/>
        <w:gridCol w:w="115"/>
        <w:gridCol w:w="116"/>
        <w:gridCol w:w="109"/>
        <w:gridCol w:w="109"/>
        <w:gridCol w:w="109"/>
        <w:gridCol w:w="229"/>
        <w:gridCol w:w="229"/>
        <w:gridCol w:w="233"/>
        <w:gridCol w:w="109"/>
        <w:gridCol w:w="109"/>
        <w:gridCol w:w="109"/>
        <w:gridCol w:w="435"/>
        <w:gridCol w:w="436"/>
        <w:gridCol w:w="109"/>
        <w:gridCol w:w="109"/>
        <w:gridCol w:w="109"/>
        <w:gridCol w:w="109"/>
        <w:gridCol w:w="368"/>
        <w:gridCol w:w="368"/>
        <w:gridCol w:w="109"/>
        <w:gridCol w:w="109"/>
        <w:gridCol w:w="109"/>
        <w:gridCol w:w="109"/>
        <w:gridCol w:w="109"/>
        <w:gridCol w:w="109"/>
        <w:gridCol w:w="109"/>
        <w:gridCol w:w="736"/>
        <w:gridCol w:w="157"/>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0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Benjamin Albert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Kevin Freeman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Benjamin Landry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w:t>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12,746</w:t>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59,750</w:t>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114,720</w:t>
            </w:r>
          </w:p>
        </w:tc>
      </w:tr>
      <w:tr>
        <w:trPr/>
        <w:tc>
          <w:tcPr>
            <w:tcW w:w="8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87,209</w:t>
            </w:r>
          </w:p>
        </w:tc>
      </w:tr>
      <w:tr>
        <w:trPr/>
        <w:tc>
          <w:tcPr>
            <w:tcW w:w="80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Dan LeSueur</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99"/>
        <w:gridCol w:w="2748"/>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Each equity award prior to July 23, 2019 was granted pursuant to our 2011 Plan and are subject to the terms of our 2011 Plan, as amended from time to time. Equity awards granted on or after July 23, 2019 were and will be granted pursuant to our 2019 Plan and are subject to the terms of our 2019 Plan, as amended from time to time. Each equity award is subject to certain acceleration of vesting provisions as set forth in our Executive Severance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For NEO RSU grants prior to fiscal 2025, 25% of the restricted stock units vest on the first anniversary of the vesting commencement date and the remaining 75% vest in 12 equal quarterly installments thereafter. Beginning in fiscal 2025, 33.3% of of the restricted stock units vest on the first anniversary of the vesting commencement date and the remaining 66.7% vest in 8 equal quarterly installments thereafter. The RSU grants are subject to the named executive officer’s continuous service relationship with our company through each applicable vesting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market value of restricted stock unit awards and performance-based restricted stock units is determined by multiplying the number of shares by $2.39, the closing price of our common stock on the Nasdaq Global Select Market on the last trading day of the year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stock option is fully vested.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amounts reported represent the number of long-term 2025-2027 PRSUs granted to all named executive officers in fiscal 2025, as previously described, and assumes maximum market and performance goals will be achieved. Approximately one third of the long-term 2025-2027 PRSUs vested or forfeited on March 1, 2026 upon the achievement of certain market and performance metrics, during the period of January 1, 2025 through December 31, 2025, as summarized in the section titled “Elements of Our Executive Compensation Program” above. On March 1, 2026, a total of 49,333, 15,000, 38,833, 11,666, 8,000, and 12,833, long-term 2025-2027 PRSUs vested for Messrs. Burton, Alger, Albert, Freeman, Landry, and LeSueur respectively. The remaining two thirds of the long-term PRSUs will vest based on fiscal 2026 and 2027 market and performance conditions on March 1, 2027, and March 1, 2028 respectively, subject to the named executive officer’s continuous service relationship with our company through each applicable vesting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
        <w:gridCol w:w="117"/>
        <w:gridCol w:w="118"/>
        <w:gridCol w:w="3061"/>
        <w:gridCol w:w="2797"/>
        <w:gridCol w:w="3980"/>
      </w:tblGrid>
      <w:tr>
        <w:trPr/>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amounts reported represent the number of long-term 2024-2026 PRSUs granted to all named executive officers in fiscal 2024, as previously described, and assumes maximum market and performance goals will be achieved. Approximately one third of the long-term 2024-2026 PRSUs vested or forfeited on March 1, 2025 upon the achievement of certain market and performance metrics, during the period of January 1, 2025 through December 31, 2025, as summarized in the section titled “Elements of Our Executive Compensation Program” above. On March 1, 2026, a total of 75,437, 5,833, 9,167, 6,250, and 5,833 long-term 2024-2026 PRSUs vested for Messrs. Burton, Alger, Freeman, Landry, and LeSueur respectively. The remaining one third of the long-term PRSUs will vest based on fiscal 2026 market and performance conditions on March 1, 2027, respectively, subject to the named executive officer’s continuous service relationship with our company through each applicable vesting date.</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amounts reported represent the number of long-term 2023-2025 PRSUs outstanding as of December 31, 2024 for each named executive officer and assumes maximum market and performance goals will be achieved. Approximately one third of the long-term 2023-2025 PRSUs vested or forfeited on March 1, 2025 upon the achievement of certain market and performance metrics, during the period of January 1, 2025 through December 31, 2025, as summarized in the section titled “Elements of Our Executive Compensation Program” above. On March 1, 2026, a total of 1,389, 1,667, 2,223, and 778, long-term 2023-2025 PRSUs vested for Messrs. Alger, Freeman, Landry, and LeSueur, respectively. </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amounts reported represent the number of 2025 annual bonus PRSUs outstanding as of December 31, 2025 for each named executive officer and assumes maximum performance goals will be achieved. On March 1, 2026, a total of 33,131, 17,433, 6,463 25,874, 14,231, and 19,658, 2025 annual bonus PRSUs vested for Messrs. Burton Alger, Albert, Freeman, Landry, and LeSueur, respectively based on fiscal 2025 company performance, with the remaining 2026 annual bonus PRSUs being forfeited. For a description of the Bonus Plan, see the section titled “Compensation Discussion and Analysis – Annual Performance-Based Incentives” above. </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 reported represents the number of long-term PRSUs outstanding as of December 31, 2025. These long-term PRSUs were granted to Mr. Freeman on February 24, 2022 and the performance achievement was based solely on fiscal 2022 results. Twenty-five percent of the long-term PRSUs vested on March 1, 2023 and the remaining 75% will vest in 12 equal quarterly installments thereafter, generally subject to the named executive officer’s continuous service relationship with our company through each applicable vesting date.</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Effective February 1, 2026, Mr. Freeman ceased serving as Chief Commercial Officer. In connection, we entered into a separation agreement and a consulting agreement with Mr. Freeman. As part of his separation agreement, Mr. Freeman was entitled to receive continued vesting of the RSUs and PRSUs previously granted when he was an employee that are eligible to vest on or before December 1, 2026. All RSUs and PRSUs previously granted that are scheduled to vest after December 1, 2026 were forfeited. </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Effective September 15, 2025, Mr. LeSueur ceased serving as Chief Operating Officer. In connection, we entered into a separation agreement and a consulting agreement with Mr. LeSueur. As part of his separation agreement, Mr. LeSueur was entitled to receive continued vesting of the RSUs and PRSUs previously granted when he was an employee that are eligible to vest on or before March 15, 2026. All RSUs and PRSUs previously granted that are scheduled to vest after March 15, 2026, were forfeited.</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Effective February 12, 2026, Mr. Burton ceased serving as Chief Executive Officer. In connection, we entered into a transition agreement with Mr. Burton. As part of his transition agreement, Mr. Burton was entitled to receive continued vesting of the RSUs and PRSUs previously granted when he was an employee that are eligible to vest on or before March 2, 2026. All RSUs and PRSUs previously granted that are scheduled to vest after March 2, 2026, were forfeited.</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Option Exercises and Stock Vested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information regarding exercises of options to purchase our common stock and vesting of restricted stock unit awards by our named executive officers during the year ended December 31, 2025.</w:t>
      </w:r>
    </w:p>
    <w:tbl>
      <w:tblPr>
        <w:tblW w:w="10205" w:type="dxa"/>
        <w:jc w:val="left"/>
        <w:tblInd w:w="0" w:type="dxa"/>
        <w:tblLayout w:type="fixed"/>
        <w:tblCellMar>
          <w:top w:w="28" w:type="dxa"/>
          <w:left w:w="28" w:type="dxa"/>
          <w:bottom w:w="28" w:type="dxa"/>
          <w:right w:w="28" w:type="dxa"/>
        </w:tblCellMar>
      </w:tblPr>
      <w:tblGrid>
        <w:gridCol w:w="450"/>
        <w:gridCol w:w="322"/>
        <w:gridCol w:w="326"/>
        <w:gridCol w:w="109"/>
        <w:gridCol w:w="109"/>
        <w:gridCol w:w="109"/>
        <w:gridCol w:w="705"/>
        <w:gridCol w:w="705"/>
        <w:gridCol w:w="708"/>
        <w:gridCol w:w="109"/>
        <w:gridCol w:w="109"/>
        <w:gridCol w:w="109"/>
        <w:gridCol w:w="454"/>
        <w:gridCol w:w="944"/>
        <w:gridCol w:w="257"/>
        <w:gridCol w:w="109"/>
        <w:gridCol w:w="109"/>
        <w:gridCol w:w="109"/>
        <w:gridCol w:w="756"/>
        <w:gridCol w:w="694"/>
        <w:gridCol w:w="697"/>
        <w:gridCol w:w="109"/>
        <w:gridCol w:w="109"/>
        <w:gridCol w:w="109"/>
        <w:gridCol w:w="300"/>
        <w:gridCol w:w="1337"/>
        <w:gridCol w:w="242"/>
      </w:tblGrid>
      <w:tr>
        <w:trPr/>
        <w:tc>
          <w:tcPr>
            <w:tcW w:w="4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op w:val="single" w:sz="4" w:space="0" w:color="FFFFFF"/>
              <w:left w:val="single" w:sz="4"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9"/>
            <w:tcBorders>
              <w:top w:val="single" w:sz="4"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Option Awards</w:t>
            </w:r>
          </w:p>
        </w:tc>
        <w:tc>
          <w:tcPr>
            <w:tcW w:w="327" w:type="dxa"/>
            <w:gridSpan w:val="3"/>
            <w:tcBorders>
              <w:top w:val="single" w:sz="4"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9"/>
            <w:tcBorders>
              <w:top w:val="single" w:sz="4" w:space="0" w:color="FFFFFF"/>
              <w:right w:val="single" w:sz="4"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Stock Awards</w:t>
            </w:r>
          </w:p>
        </w:tc>
      </w:tr>
      <w:tr>
        <w:trPr/>
        <w:tc>
          <w:tcPr>
            <w:tcW w:w="1098" w:type="dxa"/>
            <w:gridSpan w:val="3"/>
            <w:tcBorders>
              <w:left w:val="single" w:sz="4" w:space="0" w:color="FFFFFF"/>
            </w:tcBorders>
            <w:shd w:fill="026DCE"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Shares Acquired on Exercise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Value Realized on Exercise ($)</w:t>
            </w:r>
            <w:r>
              <w:rPr>
                <w:rFonts w:ascii="Times New Roman;serif" w:hAnsi="Times New Roman;serif"/>
                <w:b/>
                <w:color w:val="FFFFFF"/>
                <w:sz w:val="10"/>
              </w:rPr>
              <w:t>(1)</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Shares Acquired on Vesting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FFFFFF"/>
              <w:right w:val="single" w:sz="4" w:space="0" w:color="FFFFFF"/>
            </w:tcBorders>
            <w:shd w:fill="026DCE" w:val="clear"/>
            <w:tcMar>
              <w:top w:w="3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FFFFFF"/>
                <w:sz w:val="16"/>
              </w:rPr>
              <w:t>Value Realized on Vesting ($)</w:t>
            </w:r>
            <w:r>
              <w:rPr>
                <w:rFonts w:ascii="Times New Roman;serif" w:hAnsi="Times New Roman;serif"/>
                <w:b/>
                <w:color w:val="FFFFFF"/>
                <w:sz w:val="10"/>
              </w:rPr>
              <w:t>(2)</w:t>
            </w:r>
          </w:p>
        </w:tc>
      </w:tr>
      <w:tr>
        <w:trPr/>
        <w:tc>
          <w:tcPr>
            <w:tcW w:w="1098"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295,462</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7"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1,104,334 </w:t>
            </w:r>
          </w:p>
        </w:tc>
        <w:tc>
          <w:tcPr>
            <w:tcW w:w="242"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369,237</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Benjamin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Kevin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508,627</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298,689</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Dan LeSueur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98,007 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Kevin Freeman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508,627</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Amounts shown in this column do not necessarily represent the actual value realized from the sale of the shares acquired upon exercise of the options because the shares may not be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Amounts shown in this column represent the market value of restricted stock unit awards upon vesting as determined by multiplying the number of shares by the closing price of our common stock on the Nasdaq Global Select Market the market day immediately preceding the vesting date. </w:t>
            </w:r>
          </w:p>
        </w:tc>
      </w:tr>
    </w:tbl>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Pension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Aside from our 401(k) plan, which is described above, we do not maintain any pension plan or arrangement under which our named executive officers are entitled to participate or receive post-retirement benefits. We do not have any qualified or non-qualified defined pension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Nonqualified Deferred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maintain any nonqualified deferred compensation plans or arrangements under which our named executive officers are entitled to participate.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Employment Offer Letters in Place During 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for Named Executive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initially entered into an offer letter with each of the named executive officers in connection with his or her employment with us, which set forth the terms and conditions of his or her employment. Each named executive officer also entered into our standard employee agreement and invention and confidentiality agreement. Each of our named executive officers also participates in our Executive Severance Plan, as described above under the heading “Post-Employment Compensation Arrangements” and below. Each named executive officer also remains subject to our standard employment, confidential information and invention assignment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presents information concerning estimated payments and benefits that would be provided pursuant to the arrangements described above for each of our named executive officers serving as of the end of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and are all subject to the execution and delivery of a separation agreement and release containing, among other provisions, an effective release of claims in favor of the company and reaffirmation of the “restrictive covenants agreement” (as defined in the Executive Severance Plan). For Mr. Freeman, who ceased being our Chief Commercial Officer on February 1, 2026 and Mr. LeSueur, who ceased being our Chief Operating Officer on September 15, 2025, the amounts set forth below represent the amounts actually paid to them as part of their separation agreements and consulting agreements as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Mr. Burton voluntarily stepped down as our Chief Executive Officer on February 12, 2026 and is not included in the table below as he is no longer eligible for potential payments upon termination.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payments and benefits set forth below are estimated assuming that the termination of employment or change in control event occurred on the last business day of fiscal </w:t>
      </w:r>
      <w:r>
        <w:rPr>
          <w:rFonts w:ascii="Times New Roman;serif" w:hAnsi="Times New Roman;serif"/>
          <w:b w:val="false"/>
          <w:color w:val="242424"/>
          <w:sz w:val="20"/>
        </w:rPr>
        <w:t>2025</w:t>
      </w:r>
      <w:r>
        <w:rPr>
          <w:rFonts w:ascii="Times New Roman;serif" w:hAnsi="Times New Roman;serif"/>
          <w:b w:val="false"/>
          <w:color w:val="000000"/>
          <w:sz w:val="20"/>
        </w:rPr>
        <w:t>, December 31, 2025, and a per share value of our common stock of $2.39, which is the closing market price per share of our common stock on December 31, 2025. Actual payments and benefits could be different if such events were to occur on any other date or at any other price or if any other assumptions are used to estimated potential payments and benefits.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7"/>
        <w:gridCol w:w="413"/>
        <w:gridCol w:w="416"/>
        <w:gridCol w:w="109"/>
        <w:gridCol w:w="109"/>
        <w:gridCol w:w="109"/>
        <w:gridCol w:w="558"/>
        <w:gridCol w:w="454"/>
        <w:gridCol w:w="446"/>
        <w:gridCol w:w="109"/>
        <w:gridCol w:w="109"/>
        <w:gridCol w:w="109"/>
        <w:gridCol w:w="504"/>
        <w:gridCol w:w="1975"/>
        <w:gridCol w:w="260"/>
        <w:gridCol w:w="109"/>
        <w:gridCol w:w="109"/>
        <w:gridCol w:w="109"/>
        <w:gridCol w:w="580"/>
        <w:gridCol w:w="2684"/>
        <w:gridCol w:w="427"/>
      </w:tblGrid>
      <w:tr>
        <w:trPr/>
        <w:tc>
          <w:tcPr>
            <w:tcW w:w="5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Benefit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Termination without Cause Not in Connection with a Change in Control</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Termination without Cause or resignation with Good Reason in Connection with a Change in Control</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318,750 </w:t>
            </w:r>
          </w:p>
        </w:tc>
        <w:tc>
          <w:tcPr>
            <w:tcW w:w="26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701,250 </w:t>
            </w:r>
          </w:p>
        </w:tc>
        <w:tc>
          <w:tcPr>
            <w:tcW w:w="427"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746,758 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338,226 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1,473,976 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60"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42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1,755,629 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627,456 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3,596,813 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Kevin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368,741 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696,833 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307,500 </w:t>
            </w:r>
          </w:p>
        </w:tc>
        <w:tc>
          <w:tcPr>
            <w:tcW w:w="2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635,500 </w:t>
            </w:r>
          </w:p>
        </w:tc>
        <w:tc>
          <w:tcPr>
            <w:tcW w:w="4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361,260 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326,976 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1,022,728 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 LeSueur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401,735 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691,211 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Executive Severance Plan provides that upon a termination of employment by us other than for cause, death, or disability outside of the change in control period (i.e., the period beginning on the date of a change in control and ending on the one-year anniversary of the change in control), the named executive officer will be entitled to receive, a severance amount equal to 12 months’ “base salary” (i.e., the higher of the annual base salary in effect immediately prior to the date of termination or the annual base salary in effect for the year immediately prior to the year in which the date of termination occurs) for Mr. Albert or 9 months’ base salary for the named executive officers other than Mr. Albert, payable over 12 months or 9 months, respectively.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Executive Severance Plan also provides that upon a termination of employment by us other than for cause, death, or disability or upon a resignation by a named executive officer for good reason, in either case within the change in control period, the named executive officer will be entitled to receive, in lieu of the payments and benefits described above, (i) a lump sum cash severance amount equal to 150% of base salary for Mr. Albert or 100% of base salary for a Tier 2 Executive, and (ii) a lump sum cash amount equal to 150% for Mr. Albert or 100% for the named executive officers other than Mr. Albert, of the participant’s annual target cash bonus in effect immediately prior to such termination (or the participant’s annual target cash bonus in effect immediately prior to the change in control, if higher).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57"/>
        <w:gridCol w:w="2774"/>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Executive Severance Plan provides that upon termination of employment by us other than for cause, death, or disability outside of the change in control period, the named executive officer will be entitled to receive monthly cash payments equal to the monthly employer contribution that we would have made to provide health insurance for the applicable participant if he or she had remained employed by us, based on the premiums as of the date of termination, for up to 12 months for Mr. Albert or 9 months for the named executive officers other than Mr. Albert; provided, that the participant was participating in our group health plan immediately prior to the date of termination and timely elects COBRA health continuation.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Executive Severance Plan also provides that upon a termination of employment by us other than for cause, death, or disability or upon a resignation by a named executive officer for good reason, in either case within the change in control period, the named executive officer will be entitled to receive, in lieu of the payments and benefits described above, a lump sum amount equal to the monthly employer contribution, based on the premiums as of the date of termination, that we would have made to provide health insurance for the participant if he or she had remained employed by us for 18 months for Mr. Albert or 12 for the named executive officers other than Mr. Albert; provided, that the participant was participating in our group health plan immediately prior to the date of termination and timely elects COBRA health continuation.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Executive Severance Plan also provides that upon a termination of employment by us other than for cause, death, or disability or upon a resignation by a named executive officer for good reason, in either case within the change in control period, the named executive officer will be entitled to, for all outstanding and unvested equity awards of our company that are subject to time-based vesting held by the participant, full accelerated vesting of such awards; provided, that the performance conditions applicable to any outstanding and unvested equity awards subject to performance-based vesting will be deemed satisfied at the target level specified in the terms of the applicable award agreement. The value of RSU and PRSU award vesting acceleration is based on the closing price of $2.39 per share of our common stock as of December 31, 2025, minus, in the case of stock options, the exercise price of the unvested stock option shares subject to acceleration. All stock options are fully vested as of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Effective February 1, 2026, Mr. Freeman ceased serving as Chief Commercial Officer. In connection, we entered into a separation agreement and a consulting agreement with Mr. Freeman. As part of his separation agreement, Mr. Freeman was entitled to receive (i) a cash payment of $307,500, which represented nine months of his salary payable in a cash lump sum, (ii) COBRA continuation payments for up to nine months, and (iii) continued vesting of RSUs and PRSUs previously granted when he was an employee that are eligible to vest on or before December 1, 2026. All RSUs and PRSUs previously granted that are scheduled to vest after December 1, 2026 were forfeited with no additional equity, cash or other forms of compensation as part of the separation and consulting agreements. The consulting agreement covers the period from February 2, 2025 through December 1, 2026, where Mr. Freeman serves as senior advisor, and in return he received the benefits noted above. All of these payments and benefits were in exchange for Mr. Freeman’s execution of a general release of claims in favor of us and our affiliates. The value of the equity acceleration is based on the 154,285 RSUs and PRSUs that continued vesting after his termination date multiplied by the closing price of $2.39 per share of our common stock as of December 31, 2025</w:t>
            </w:r>
            <w:r>
              <w:rPr>
                <w:rFonts w:ascii="Arial;sans-serif" w:hAnsi="Arial;sans-serif"/>
                <w:b w:val="false"/>
                <w:color w:val="242424"/>
                <w:sz w:val="20"/>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Effective September 15, 2025, Mr. LeSueur ceased serving as Chief Operating Officer. In connection, we entered into a separation agreement and a consulting agreement with Mr. LeSueur. As part of his separation agreement, Mr. LeSueur was entitled to receive (i) a cash payment of $270,000, which represented nine months of his salary payable in a cash lump sum, (ii) COBRA continuation payments for up to nine months, and (iii) continued vesting of the RSUs and PRSUs previously granted when he was an employee that are eligible to vest on or before March 15, 2026. All RSUs and PRSUs previously granted that are scheduled to vest after March 15, 2026, were forfeited with no additional equity, cash or other forms of compensation as part of the separation and consulting agreements. The consulting agreement covered the period from September 15, 2025 through March 15, 2026, where Mr. LeSueur served as senior advisor, and in return he received the benefits noted above. All of these payments and benefits were in exchange for Mr. LeSueur’s execution of a general release of claims in favor of us and our affiliates. The value of the equity acceleration is based on the 168,090 RSUs and PRSUs that continued vesting after his termination date multiplied by the closing price of $2.39 per share of our common stock as of December 31, 2025</w:t>
            </w:r>
            <w:r>
              <w:rPr>
                <w:rFonts w:ascii="Arial;sans-serif" w:hAnsi="Arial;sans-serif"/>
                <w:b w:val="false"/>
                <w:color w:val="242424"/>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Non-Employee Director Compensation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December 31, 2025, we provided compensation to our non-employee directors, in the form of cash retainers (prorated for partial years of service) and equity awards with total values as set forth below: </w:t>
      </w:r>
    </w:p>
    <w:tbl>
      <w:tblPr>
        <w:tblW w:w="9268" w:type="dxa"/>
        <w:jc w:val="left"/>
        <w:tblInd w:w="0" w:type="dxa"/>
        <w:tblLayout w:type="fixed"/>
        <w:tblCellMar>
          <w:top w:w="28" w:type="dxa"/>
          <w:left w:w="28" w:type="dxa"/>
          <w:bottom w:w="28" w:type="dxa"/>
          <w:right w:w="28" w:type="dxa"/>
        </w:tblCellMar>
      </w:tblPr>
      <w:tblGrid>
        <w:gridCol w:w="2978"/>
        <w:gridCol w:w="2615"/>
        <w:gridCol w:w="2627"/>
        <w:gridCol w:w="109"/>
        <w:gridCol w:w="109"/>
        <w:gridCol w:w="109"/>
        <w:gridCol w:w="211"/>
        <w:gridCol w:w="211"/>
        <w:gridCol w:w="299"/>
      </w:tblGrid>
      <w:tr>
        <w:trPr/>
        <w:tc>
          <w:tcPr>
            <w:tcW w:w="297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2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Annual Retainer for Board Membership</w:t>
            </w:r>
          </w:p>
        </w:tc>
        <w:tc>
          <w:tcPr>
            <w:tcW w:w="1048" w:type="dxa"/>
            <w:gridSpan w:val="6"/>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left"/>
              <w:rPr>
                <w:color w:val="FFFFFF"/>
              </w:rPr>
            </w:pPr>
            <w:r>
              <w:rPr>
                <w:color w:val="FFFFFF"/>
              </w:rPr>
              <w:t> </w:t>
            </w:r>
          </w:p>
        </w:tc>
      </w:tr>
      <w:tr>
        <w:trPr/>
        <w:tc>
          <w:tcPr>
            <w:tcW w:w="822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on the board of directors</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annual service as non-executive Chair of the board</w:t>
            </w:r>
          </w:p>
        </w:tc>
        <w:tc>
          <w:tcPr>
            <w:tcW w:w="1048" w:type="dxa"/>
            <w:gridSpan w:val="6"/>
            <w:tcBorders>
              <w:bottom w:val="single" w:sz="8" w:space="0" w:color="FFFFFF"/>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75,000</w:t>
            </w:r>
          </w:p>
        </w:tc>
      </w:tr>
      <w:tr>
        <w:trPr/>
        <w:tc>
          <w:tcPr>
            <w:tcW w:w="822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Additional Annual Retainer for Committee Membership</w:t>
            </w:r>
          </w:p>
        </w:tc>
        <w:tc>
          <w:tcPr>
            <w:tcW w:w="1048" w:type="dxa"/>
            <w:gridSpan w:val="6"/>
            <w:tcBorders>
              <w:top w:val="single" w:sz="8" w:space="0" w:color="FFFFFF"/>
              <w:bottom w:val="single" w:sz="8" w:space="0" w:color="FFFFFF"/>
              <w:right w:val="single" w:sz="8" w:space="0" w:color="FFFFFF"/>
            </w:tcBorders>
            <w:shd w:fill="026DCE" w:val="clear"/>
            <w:tcMar>
              <w:top w:w="30" w:type="dxa"/>
              <w:left w:w="0" w:type="dxa"/>
              <w:bottom w:w="30" w:type="dxa"/>
            </w:tcMar>
            <w:vAlign w:val="center"/>
          </w:tcPr>
          <w:p>
            <w:pPr>
              <w:pStyle w:val="TableContents"/>
              <w:bidi w:val="0"/>
              <w:spacing w:lineRule="auto" w:line="240" w:before="0" w:after="283"/>
              <w:jc w:val="left"/>
              <w:rPr>
                <w:color w:val="FFFFFF"/>
              </w:rPr>
            </w:pPr>
            <w:r>
              <w:rPr>
                <w:color w:val="FFFFFF"/>
              </w:rPr>
              <w:t> </w:t>
            </w:r>
          </w:p>
        </w:tc>
      </w:tr>
      <w:tr>
        <w:trPr/>
        <w:tc>
          <w:tcPr>
            <w:tcW w:w="822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chair of the audit committee</w:t>
            </w:r>
          </w:p>
        </w:tc>
        <w:tc>
          <w:tcPr>
            <w:tcW w:w="1048" w:type="dxa"/>
            <w:gridSpan w:val="6"/>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audit committee (other than chair)</w:t>
            </w:r>
          </w:p>
        </w:tc>
        <w:tc>
          <w:tcPr>
            <w:tcW w:w="1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8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chair of the compensation committee</w:t>
            </w:r>
          </w:p>
        </w:tc>
        <w:tc>
          <w:tcPr>
            <w:tcW w:w="10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Annual service as member of the compensation committee (other than chair)</w:t>
            </w:r>
          </w:p>
        </w:tc>
        <w:tc>
          <w:tcPr>
            <w:tcW w:w="1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8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chair of the nominating and corporate governance committee</w:t>
            </w:r>
          </w:p>
        </w:tc>
        <w:tc>
          <w:tcPr>
            <w:tcW w:w="10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nominating and corporate governance committee (other than chair)</w:t>
            </w:r>
          </w:p>
        </w:tc>
        <w:tc>
          <w:tcPr>
            <w:tcW w:w="1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8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8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tcPr>
          <w:p>
            <w:pPr>
              <w:pStyle w:val="TableContents"/>
              <w:bidi w:val="0"/>
              <w:spacing w:before="0" w:after="283"/>
              <w:jc w:val="left"/>
              <w:rPr>
                <w:sz w:val="4"/>
                <w:szCs w:val="4"/>
              </w:rPr>
            </w:pPr>
            <w:r>
              <w:rPr>
                <w:sz w:val="4"/>
                <w:szCs w:val="4"/>
              </w:rPr>
            </w:r>
          </w:p>
        </w:tc>
      </w:tr>
      <w:tr>
        <w:trPr/>
        <w:tc>
          <w:tcPr>
            <w:tcW w:w="8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lieu of the cash payment above, members of the board of directors may elect to receive restricted stock units (RSUs) with the same value. For those who elected to receive RSUs, the board and committee membership retainers in the above table were paid in RSUs with a total grant date fair value equal to the retainer amounts listed above. In addition, each non-employee director (who has not waived his or her compensation) will receive an annual equity long-term incentive award of RSUs having a fair market value of $140,000 (collectively, the Annual Grant). The Annual Grant and the portion of any RSUs related to the annual retainer for board membership amounts in the table above will vest in full on the earlier of the one-year anniversary of the grant date or on the date of the annual meeting of stockholders following the grant date, subject to the applicable director’s continued service through the applicable vesting date. The portion of the RSUs related to the additional annual retainer for committee membership will vest in an amount equal to 25% of the value of such grants, rounded to the nearest whole share, on each of September 1, December 1, March 1, and June 1 following such grant, subject to the applicable director’s continued service through the applicable vesting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policy provides that, upon the initial election of the relevant non-employee director, each new non-employee director will be granted a one-time grant of RSUs having a fair market value of $225,000 (the Initial Grant). The Initial Grant will vest in three equal annual installments over three years, subject to the applicable director’s continued service through the applicable vesting date. The Initial Grant and Annual Grant are subject to full accelerated vesting upon a Sale Event (as defined in our 2019 Stock Option and Incentive Plan (the 2019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reimburse all reasonable out-of-pocket expenses incurred by directors for their attendance at meetings of our board of directors or any committee thereof. Employee directors will receive no additional compensation for their service as a director. The aggregate amount of compensation, including both equity compensation and cash compensation (but excluding the aforementioned reimbursed expenses), paid to any non-employee director in a calendar year period will not exceed $1,000,000 in the first calendar year such individual becomes a non-employee director and $500,000 in any other year. </w:t>
      </w:r>
    </w:p>
    <w:p>
      <w:pPr>
        <w:pStyle w:val="TextBody"/>
        <w:bidi w:val="0"/>
        <w:spacing w:lineRule="auto" w:line="288" w:before="60" w:after="120"/>
        <w:jc w:val="both"/>
        <w:rPr/>
      </w:pPr>
      <w:r>
        <w:rPr>
          <w:rFonts w:ascii="Times New Roman;serif" w:hAnsi="Times New Roman;serif"/>
          <w:b w:val="false"/>
          <w:color w:val="000000"/>
          <w:sz w:val="20"/>
        </w:rPr>
        <w:t xml:space="preserve">The following table presents the outstanding options and RSUs held as of December 31, 2025 and the total compensation for each person who served as a non-employee director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Other than as set forth in the table below, we did not pay any compensation or make any equity awards to our non-employee directors during fiscal </w:t>
      </w:r>
      <w:r>
        <w:rPr>
          <w:rFonts w:ascii="Times New Roman;serif" w:hAnsi="Times New Roman;serif"/>
          <w:b w:val="false"/>
          <w:color w:val="242424"/>
          <w:sz w:val="20"/>
        </w:rPr>
        <w:t>2025</w:t>
      </w:r>
      <w:r>
        <w:rPr>
          <w:rFonts w:ascii="Times New Roman;serif" w:hAnsi="Times New Roman;serif"/>
          <w:b w:val="false"/>
          <w:color w:val="000000"/>
          <w:sz w:val="20"/>
        </w:rPr>
        <w:t>. Mr. Arens and Mr. Kolb waived their rights to compensation, and did not receive any compensation for their service as directors except for reimbursement of out-of-pocket expenses related to such services. Mr. Burton, who was our Chief Executive Officer during fiscal 2025, did not receive any compensation for his service as a director. The compensation received by Mr. Burton, as a named executive officer, is presented in the “Executive Compensation - 2025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6"/>
        <w:gridCol w:w="404"/>
        <w:gridCol w:w="355"/>
        <w:gridCol w:w="109"/>
        <w:gridCol w:w="109"/>
        <w:gridCol w:w="109"/>
        <w:gridCol w:w="429"/>
        <w:gridCol w:w="338"/>
        <w:gridCol w:w="224"/>
        <w:gridCol w:w="224"/>
        <w:gridCol w:w="224"/>
        <w:gridCol w:w="224"/>
        <w:gridCol w:w="429"/>
        <w:gridCol w:w="338"/>
        <w:gridCol w:w="237"/>
        <w:gridCol w:w="109"/>
        <w:gridCol w:w="109"/>
        <w:gridCol w:w="109"/>
        <w:gridCol w:w="523"/>
        <w:gridCol w:w="740"/>
        <w:gridCol w:w="198"/>
        <w:gridCol w:w="126"/>
        <w:gridCol w:w="126"/>
        <w:gridCol w:w="126"/>
        <w:gridCol w:w="126"/>
        <w:gridCol w:w="126"/>
        <w:gridCol w:w="126"/>
        <w:gridCol w:w="431"/>
        <w:gridCol w:w="562"/>
        <w:gridCol w:w="150"/>
        <w:gridCol w:w="126"/>
        <w:gridCol w:w="126"/>
        <w:gridCol w:w="126"/>
        <w:gridCol w:w="126"/>
        <w:gridCol w:w="126"/>
        <w:gridCol w:w="126"/>
        <w:gridCol w:w="315"/>
        <w:gridCol w:w="542"/>
        <w:gridCol w:w="126"/>
        <w:gridCol w:w="109"/>
        <w:gridCol w:w="109"/>
        <w:gridCol w:w="172"/>
      </w:tblGrid>
      <w:tr>
        <w:trPr/>
        <w:tc>
          <w:tcPr>
            <w:tcW w:w="63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6"/>
              </w:rPr>
            </w:pPr>
            <w:r>
              <w:rPr>
                <w:rFonts w:ascii="Times New Roman;serif" w:hAnsi="Times New Roman;serif"/>
                <w:b/>
                <w:color w:val="FFFFFF"/>
                <w:sz w:val="16"/>
              </w:rPr>
              <w:t>Stock Awards Outstanding as of December 31, 2025</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6"/>
              </w:rPr>
            </w:pPr>
            <w:r>
              <w:rPr>
                <w:rFonts w:ascii="Times New Roman;serif" w:hAnsi="Times New Roman;serif"/>
                <w:b/>
                <w:color w:val="FFFFFF"/>
                <w:sz w:val="16"/>
              </w:rPr>
              <w:t>Total Director Compensation for fiscal year ended December 31, 2025</w:t>
            </w:r>
          </w:p>
        </w:tc>
        <w:tc>
          <w:tcPr>
            <w:tcW w:w="390" w:type="dxa"/>
            <w:gridSpan w:val="3"/>
            <w:tcBorders>
              <w:top w:val="single" w:sz="8" w:space="0" w:color="FFFFFF"/>
              <w:right w:val="single" w:sz="8" w:space="0" w:color="FFFFFF"/>
            </w:tcBorders>
            <w:shd w:fill="026DC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Options </w:t>
            </w:r>
          </w:p>
        </w:tc>
        <w:tc>
          <w:tcPr>
            <w:tcW w:w="672"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RSUs </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Fees Earned or Paid in Cash($)</w:t>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8"/>
              </w:rPr>
              <w:t>Stock Awards($)</w:t>
            </w:r>
            <w:r>
              <w:rPr>
                <w:rFonts w:ascii="Times New Roman;serif" w:hAnsi="Times New Roman;serif"/>
                <w:b/>
                <w:color w:val="FFFFFF"/>
                <w:sz w:val="12"/>
              </w:rPr>
              <w:t>(1)</w:t>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Total($)</w:t>
            </w:r>
          </w:p>
        </w:tc>
        <w:tc>
          <w:tcPr>
            <w:tcW w:w="390" w:type="dxa"/>
            <w:gridSpan w:val="3"/>
            <w:tcBorders>
              <w:right w:val="single" w:sz="8" w:space="0" w:color="FFFFFF"/>
            </w:tcBorders>
            <w:shd w:fill="026DC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Mathew Arens</w:t>
            </w:r>
            <w:r>
              <w:rPr>
                <w:rFonts w:ascii="Times New Roman;serif" w:hAnsi="Times New Roman;serif"/>
                <w:b w:val="false"/>
                <w:color w:val="000000"/>
                <w:sz w:val="13"/>
              </w:rPr>
              <w:t>(2)</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Duncan Gallagher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Jill Hoggard 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Julie Larson-Green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John A. Kane</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Kolb</w:t>
            </w:r>
            <w:r>
              <w:rPr>
                <w:rFonts w:ascii="Times New Roman;serif" w:hAnsi="Times New Roman;serif"/>
                <w:b w:val="false"/>
                <w:color w:val="000000"/>
                <w:sz w:val="13"/>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Dawn Smith</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Justin Spencer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12"/>
        </w:rPr>
      </w:pPr>
      <w:r>
        <w:rPr>
          <w:rFonts w:ascii="Times New Roman;serif" w:hAnsi="Times New Roman;serif"/>
          <w:b w:val="false"/>
          <w:color w:val="000000"/>
          <w:sz w:val="12"/>
        </w:rPr>
        <w:t>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2"/>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amounts reported represent the aggregate grant date fair value of the restricted stock units awarded to the non-employee directors in the fiscal year ended December 31, 2025, calculated in accordance with Financial Accounting Standards Board (FASB), Accounting Standards Codification (ASC), Topic 718. Such grant date fair values do not take into account any estimated forfeitures. The amounts reported in this column reflect the accounting cost for these RSUs and do not correspond to the actual economic value that may be received by the non-employee directors upon any settlement of RSUs or any sale of the underlying shares of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Kolb and Mr. Arens waived their rights to compensation and therefore have not and will not receive any compensation in connection with serving on the Board except for reimbursement of out-of-pocket expenses related to such service, pursuant to the Company’s non-employee director compensation policy.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Gallagher voluntarily resigned, effective February 17, 2026. Mr. Gallagher's resignation is not the result of any disagreement or conflict with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Ms. Smith voluntarily resigned, effective February 17, 2026. Ms. Smith’s resignation is not the result of any disagreement or conflict with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Kane voluntarily resigned, effective April 1, 2026. Mr. Kane’s resignation is not the result of any disagreement or conflict with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Kolb will not stand for re-election at the Company’s 2026 annual meeting of stockholders and Mr. Kolb’s term will end immediately prior to the commencement of the 2026 annual meeting of stockholders.</w:t>
            </w:r>
          </w:p>
        </w:tc>
      </w:tr>
    </w:tbl>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CEO Pay Ratio Disclosure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SEC rules, we are providing the following information about the relationship between the annual total compensation of our CEO and the annual total compensation of our median compensated employee (our CEO pay ratio).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the median of the annual total compensation of all employees of our company (other than our CEO) was $113,064 and the annual total compensation of our CEO was $3,991,159. Based on this information,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the ratio of the annual total compensation of our CEO to the median of the annual total compensation of all employees was 35 to 1. This ratio is a reasonable estimate calculated in a manner consistent with SEC rules.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identify the median employee, we examined the compensation of all our full- and part-time employees (other than our CEO) as of December 31, 2025, the last day of fiscal 2025. Our employee population consisted of individuals (other than our CEO) working at our parent company and consolidated subsidiaries both within and outside the United States. We did not include any contractors or other non-employee workers in our employee population. We used a consistently applied compensation measure consisting of actual annual base salary, actual bonus and, commission amounts earned, matching contributions made by us under our 401(k) plan, and the grant date fair value of equity awards for the year ended December 31, 2025 to identify our median employee. For simplicity, we calculated annual base salary using a reasonable estimate of the hours worked during fiscal 2025 for hourly employees and actual salary paid for our remaining employees. We annualized compensation for any full-time and part-time employees who commenced work during fiscal 2025 to reflect a full year. Equity awards granted during the year were included using the same methodology we use for our named executive officers in our Summary Compensation Table. We did not make any cost-of-living adjustments.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Using this approach, we identified the individual at the median of our employee population who was the best representative of our employee population. The individual is a full-time employee based in the United States.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then calculated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total compensation for this individual using the same methodology we use for our named executive officers as set forth in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With respect to the annual total compensation of our CEO, we used the amount reported in the “Total” column of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important information about Adjusted EBITDA, Adjusted Net Income, and Adjusted Net Income per share, each a non-GAAP financial measure, discussed in this Amendment No. 1 to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we define as net loss adjusted for (i) interest and other (income) expense, net, (ii) income tax provision (benefit), (iii) depreciation and amortization, (iv) stock-based compensation, (v) acquisition-related costs, net, including the change in fair value of contingent consideration liabilities for potential earn-out payments, (vi) restructuring costs, (vii) impairment of goodwill and intangible assets, and (viii) non-recurring lease-related charges, as applicable. We view acquisition-related expenses when applicable, such as transaction costs and changes in the fair value of contingent consideration liabilities that are directly related to business combinations, as costs that are unpredictable, dependent upon factors outside of our control, and are not necessarily reflective of operational performance during a period. We believe that excluding restructuring costs, impairment of goodwill and intangible assets, and non-recurring lease-related charges, as applicable, allows for more meaningful comparisons between operating results from period to period as these are separate from the core activities that arise in the ordinary course of our business and are not part of our ongoing operations. We believe Adjusted EBITDA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Margin is a non-GAAP financial measure that we define as Adjusted EBITDA as a percentage of total revenue.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net loss and let loss margin, the most directly comparable financial measures calculated in accordance with GAAP, to Adjusted EBITDA and Adjusted EBITDA Margin, respectively, for the three and twelve months ended December 31, 2025 and 2024:</w:t>
      </w:r>
    </w:p>
    <w:tbl>
      <w:tblPr>
        <w:tblW w:w="10205" w:type="dxa"/>
        <w:jc w:val="left"/>
        <w:tblInd w:w="0" w:type="dxa"/>
        <w:tblLayout w:type="fixed"/>
        <w:tblCellMar>
          <w:top w:w="28" w:type="dxa"/>
          <w:left w:w="28" w:type="dxa"/>
          <w:bottom w:w="28" w:type="dxa"/>
          <w:right w:w="28" w:type="dxa"/>
        </w:tblCellMar>
      </w:tblPr>
      <w:tblGrid>
        <w:gridCol w:w="1587"/>
        <w:gridCol w:w="1163"/>
        <w:gridCol w:w="1182"/>
        <w:gridCol w:w="211"/>
        <w:gridCol w:w="795"/>
        <w:gridCol w:w="271"/>
        <w:gridCol w:w="109"/>
        <w:gridCol w:w="109"/>
        <w:gridCol w:w="109"/>
        <w:gridCol w:w="211"/>
        <w:gridCol w:w="795"/>
        <w:gridCol w:w="271"/>
        <w:gridCol w:w="109"/>
        <w:gridCol w:w="109"/>
        <w:gridCol w:w="109"/>
        <w:gridCol w:w="211"/>
        <w:gridCol w:w="900"/>
        <w:gridCol w:w="271"/>
        <w:gridCol w:w="109"/>
        <w:gridCol w:w="109"/>
        <w:gridCol w:w="109"/>
        <w:gridCol w:w="211"/>
        <w:gridCol w:w="826"/>
        <w:gridCol w:w="319"/>
      </w:tblGrid>
      <w:tr>
        <w:trPr/>
        <w:tc>
          <w:tcPr>
            <w:tcW w:w="15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w:t>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goodwill and intangible assets</w:t>
            </w:r>
            <w:r>
              <w:rPr>
                <w:rFonts w:ascii="Times New Roman;serif" w:hAnsi="Times New Roman;serif"/>
                <w:b w:val="false"/>
                <w:color w:val="000000"/>
                <w:sz w:val="13"/>
              </w:rPr>
              <w:t>(3)</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lease-related charges</w:t>
            </w:r>
            <w:r>
              <w:rPr>
                <w:rFonts w:ascii="Times New Roman;serif" w:hAnsi="Times New Roman;serif"/>
                <w:b w:val="false"/>
                <w:color w:val="000000"/>
                <w:sz w:val="13"/>
              </w:rPr>
              <w:t>(4)</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306,584 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(1)Acquisition-related costs, net includes third-party fees associated with due diligence, deferred retention expenses, post-acquisition restructuring costs incurred as part of business combinations, and changes in fair value of contingent consideration liabilities for potential earn-out payments.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(2)Restructuring costs include severance and other team member costs from workforce reductions and restructuring, impairment of discontinued capitalized software projects, and other miscellaneous charges.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(3)Impairment of goodwill and intangible assets was recognized as a result of impairment indicators and quantitative tests indicating the fair values of the Technology and the Professional Services reporting units were below their respective carrying values as of June 30, 2025 and December 31, 2025.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(4)Non-recurring lease-related charges includes lease-related impairment charges for the subleased portion of our office space.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Net Income and Adjusted Net Income Per Share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is a non-GAAP financial measure that we define as net loss adjusted for (i) stock-based compensation, (ii) amortization of acquired intangibles, (iii) acquisition-related costs, net, including the change in fair value of contingent consideration liabilities for potential earn-out payments, (iv) impairment of goodwill and intangible assets, (v) restructuring costs, (vi) non-recurring lease-related charges, and (vii) non-cash interest expense related to our convertible senior notes, as applicable. We believe Adjusted Net Income provides investors with useful information on period-to-period performance as evaluated by management and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The following is a reconciliation of our net loss, the most directly comparable financial measure calculated in accordance with GAAP, to Adjusted Net Income, for the three and twelve months ended December 31, 2025 and 2024:</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58"/>
        <w:gridCol w:w="1309"/>
        <w:gridCol w:w="1318"/>
        <w:gridCol w:w="240"/>
        <w:gridCol w:w="841"/>
        <w:gridCol w:w="110"/>
        <w:gridCol w:w="110"/>
        <w:gridCol w:w="110"/>
        <w:gridCol w:w="110"/>
        <w:gridCol w:w="240"/>
        <w:gridCol w:w="841"/>
        <w:gridCol w:w="110"/>
        <w:gridCol w:w="109"/>
        <w:gridCol w:w="109"/>
        <w:gridCol w:w="109"/>
        <w:gridCol w:w="216"/>
        <w:gridCol w:w="887"/>
        <w:gridCol w:w="109"/>
        <w:gridCol w:w="109"/>
        <w:gridCol w:w="109"/>
        <w:gridCol w:w="109"/>
        <w:gridCol w:w="240"/>
        <w:gridCol w:w="841"/>
        <w:gridCol w:w="161"/>
      </w:tblGrid>
      <w:tr>
        <w:trPr/>
        <w:tc>
          <w:tcPr>
            <w:tcW w:w="175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w:t>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58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goodwill and intangible assets</w:t>
            </w:r>
            <w:r>
              <w:rPr>
                <w:rFonts w:ascii="Times New Roman;serif" w:hAnsi="Times New Roman;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lease-related charges</w:t>
            </w:r>
            <w:r>
              <w:rPr>
                <w:rFonts w:ascii="Times New Roman;serif" w:hAnsi="Times New Roman;serif"/>
                <w:b w:val="false"/>
                <w:color w:val="000000"/>
                <w:sz w:val="13"/>
              </w:rPr>
              <w:t>(4)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debt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calculating net loss per share,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70,997,994 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62,376,784 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60,184,920 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weighted-average effect of dilutive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305,370 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weighted-average number of shares used in calculating Adjusted Net Income per share,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71,653,347 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62,912,813 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60,490,290 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basic</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68" w:before="0" w:after="0"/>
        <w:ind w:left="0" w:right="0" w:hanging="360"/>
        <w:jc w:val="both"/>
        <w:rPr/>
      </w:pPr>
      <w:r>
        <w:rPr>
          <w:rFonts w:ascii="Times New Roman;serif" w:hAnsi="Times New Roman;serif"/>
          <w:b w:val="false"/>
          <w:color w:val="000000"/>
          <w:sz w:val="16"/>
        </w:rPr>
        <w:t>(1)Acquisition-related costs, net</w:t>
      </w:r>
      <w:r>
        <w:rPr>
          <w:color w:val="000000"/>
        </w:rPr>
        <w:t xml:space="preserve"> </w:t>
      </w:r>
      <w:r>
        <w:rPr>
          <w:rFonts w:ascii="Times New Roman;serif" w:hAnsi="Times New Roman;serif"/>
          <w:b w:val="false"/>
          <w:color w:val="000000"/>
          <w:sz w:val="16"/>
        </w:rPr>
        <w:t>includes third-party fees associated with due diligence, deferred retention expenses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6"/>
        </w:rPr>
        <w:t xml:space="preserve">post-acquisition restructuring costs incurred as part of business combinations, changes in fair value of contingent consideration liabilities for potential earn-out payments, and the deferred tax valuation allowance release from acquisitions.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(2)Impairment of goodwill and intangible assets was recognized as a result of impairment indicators and quantitative tests indicating the fair values of the Technology and the Professional Services reporting units were below their respective carrying values as of June 30, 2025 and December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(3)Restructuring costs include severance and other team member costs from workforce reductions, impairment of discontinued capitalized software projects, and other miscellaneous charges.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(4)Includes the lease-related impairment charge for the subleased portion of our corporate headquarters.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regarding shares of common stock that may be issued under our equity compensation plans consisting of the 2011 Plan, the 2019 Plan, and the 2019 Employee Stock Purchase Plan (the 2019 ESPP): </w:t>
      </w:r>
    </w:p>
    <w:tbl>
      <w:tblPr>
        <w:tblW w:w="10205" w:type="dxa"/>
        <w:jc w:val="left"/>
        <w:tblInd w:w="0" w:type="dxa"/>
        <w:tblLayout w:type="fixed"/>
        <w:tblCellMar>
          <w:top w:w="28" w:type="dxa"/>
          <w:left w:w="28" w:type="dxa"/>
          <w:bottom w:w="28" w:type="dxa"/>
          <w:right w:w="28" w:type="dxa"/>
        </w:tblCellMar>
      </w:tblPr>
      <w:tblGrid>
        <w:gridCol w:w="747"/>
        <w:gridCol w:w="432"/>
        <w:gridCol w:w="386"/>
        <w:gridCol w:w="402"/>
        <w:gridCol w:w="402"/>
        <w:gridCol w:w="402"/>
        <w:gridCol w:w="680"/>
        <w:gridCol w:w="402"/>
        <w:gridCol w:w="407"/>
        <w:gridCol w:w="109"/>
        <w:gridCol w:w="109"/>
        <w:gridCol w:w="109"/>
        <w:gridCol w:w="172"/>
        <w:gridCol w:w="172"/>
        <w:gridCol w:w="172"/>
        <w:gridCol w:w="334"/>
        <w:gridCol w:w="977"/>
        <w:gridCol w:w="176"/>
        <w:gridCol w:w="109"/>
        <w:gridCol w:w="109"/>
        <w:gridCol w:w="109"/>
        <w:gridCol w:w="430"/>
        <w:gridCol w:w="430"/>
        <w:gridCol w:w="430"/>
        <w:gridCol w:w="748"/>
        <w:gridCol w:w="430"/>
        <w:gridCol w:w="431"/>
        <w:gridCol w:w="110"/>
        <w:gridCol w:w="110"/>
        <w:gridCol w:w="169"/>
      </w:tblGrid>
      <w:tr>
        <w:trPr/>
        <w:tc>
          <w:tcPr>
            <w:tcW w:w="74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8251" w:type="dxa"/>
            <w:gridSpan w:val="24"/>
            <w:tcBorders>
              <w:top w:val="single" w:sz="8" w:space="0" w:color="FFFFFF"/>
              <w:bottom w:val="single" w:sz="8" w:space="0" w:color="FFFFFF"/>
            </w:tcBorders>
            <w:shd w:fill="026DC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Equity Compensation Plan Information</w:t>
            </w:r>
          </w:p>
        </w:tc>
        <w:tc>
          <w:tcPr>
            <w:tcW w:w="389"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left"/>
              <w:rPr>
                <w:color w:val="FFFFFF"/>
              </w:rPr>
            </w:pPr>
            <w:r>
              <w:rPr>
                <w:color w:val="FFFFFF"/>
              </w:rPr>
              <w:t> </w:t>
            </w:r>
          </w:p>
        </w:tc>
      </w:tr>
      <w:tr>
        <w:trPr/>
        <w:tc>
          <w:tcPr>
            <w:tcW w:w="1565"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Plan category</w:t>
            </w:r>
          </w:p>
        </w:tc>
        <w:tc>
          <w:tcPr>
            <w:tcW w:w="2695"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Securities to be Issued upon Exercise of Outstanding Options, Warrants, and Rights</w:t>
            </w:r>
          </w:p>
        </w:tc>
        <w:tc>
          <w:tcPr>
            <w:tcW w:w="32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003"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Weighted Average Exercise Price of Outstanding Options, Warrants, and Rights</w:t>
            </w:r>
          </w:p>
        </w:tc>
        <w:tc>
          <w:tcPr>
            <w:tcW w:w="32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899"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Securities Remaining Available for Future Issuance under Equity Compensation Plan (Excluding Securities Referenced in Column (a))</w:t>
            </w:r>
          </w:p>
        </w:tc>
        <w:tc>
          <w:tcPr>
            <w:tcW w:w="389" w:type="dxa"/>
            <w:gridSpan w:val="3"/>
            <w:tcBorders>
              <w:right w:val="single" w:sz="8" w:space="0" w:color="FFFFFF"/>
            </w:tcBorders>
            <w:shd w:fill="026DCE" w:val="clear"/>
            <w:tcMar>
              <w:top w:w="0" w:type="dxa"/>
              <w:left w:w="0" w:type="dxa"/>
              <w:bottom w:w="0" w:type="dxa"/>
            </w:tcMar>
            <w:vAlign w:val="center"/>
          </w:tcPr>
          <w:p>
            <w:pPr>
              <w:pStyle w:val="TableContents"/>
              <w:bidi w:val="0"/>
              <w:spacing w:lineRule="auto" w:line="240" w:before="0" w:after="283"/>
              <w:jc w:val="left"/>
              <w:rPr>
                <w:color w:val="FFFFFF"/>
              </w:rPr>
            </w:pPr>
            <w:r>
              <w:rPr>
                <w:color w:val="FFFFFF"/>
              </w:rPr>
              <w:t> </w:t>
            </w:r>
          </w:p>
        </w:tc>
      </w:tr>
      <w:tr>
        <w:trPr/>
        <w:tc>
          <w:tcPr>
            <w:tcW w:w="15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r>
          </w:p>
        </w:tc>
        <w:tc>
          <w:tcPr>
            <w:tcW w:w="38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7,368,344 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w:t>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4,007,957 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(4)</w:t>
            </w:r>
            <w:r>
              <w:rPr>
                <w:color w:val="000000"/>
              </w:rPr>
              <w:t> </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7,368,344 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4,007,957 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Includes the 2011 Plan, the 2019 Plan, and the 2019 ESPP. The 2019 Plan provides that the number of shares reserved and available for issuance under the 2019 Plan will automatically increase each January 1, beginning on January 1, 2020, by 5% of the outstanding number of shares of our common stock on the immediately preceding December 31 or such lesser number of shares as determined by our compensation committee. The 2019 ESPP provides that the number of shares reserved and available for issuance under the 2019 ESPP will automatically increase each January 1, beginning on January 1, 2020, by the lesser of 750,000 shares of our common stock, 1% of the outstanding number of shares of our common stock on the immediately preceding December 31, or such lesser number of shares as determined by the ESPP Administrator. As of December 31, 2025, a total of 2,328,350 shares of our common stock had been reserved for issuance pursuant to the 2019 Plan, which number excludes the 3,606,676 shares that were added to the 2019 Plan as a result of the automatic annual increase on January 1, 2026.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2019 Plan and the 2011 Plan will be added back to the shares of common stock available for issuance under the 2019 Plan (provided, that any such shares of common stock will first be converted into shares of common stock). The company no longer makes grants under the 2011 Plan. As of December 31, 2025, a total of 1,679,607 shares of our common stock had been reserved for issuance pursuant to the 2019 ESPP, which number excludes the 721,335 shares that were added to the 2019 ESPP as a result of the automatic annual increase on January 1, 2026. This number will be subject to adjustment in the event of a stock split, stock dividend, or other change in our capitalization.</w:t>
            </w:r>
          </w:p>
        </w:tc>
      </w:tr>
    </w:tbl>
    <w:tbl>
      <w:tblPr>
        <w:tblW w:w="10205" w:type="dxa"/>
        <w:jc w:val="left"/>
        <w:tblInd w:w="0" w:type="dxa"/>
        <w:tblLayout w:type="fixed"/>
        <w:tblCellMar>
          <w:top w:w="28" w:type="dxa"/>
          <w:left w:w="28" w:type="dxa"/>
          <w:bottom w:w="28" w:type="dxa"/>
          <w:right w:w="28" w:type="dxa"/>
        </w:tblCellMar>
      </w:tblPr>
      <w:tblGrid>
        <w:gridCol w:w="129"/>
        <w:gridCol w:w="113"/>
        <w:gridCol w:w="113"/>
        <w:gridCol w:w="2875"/>
        <w:gridCol w:w="2875"/>
        <w:gridCol w:w="4100"/>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w:t>
            </w:r>
          </w:p>
        </w:tc>
        <w:tc>
          <w:tcPr>
            <w:tcW w:w="98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Includes 842,085 shares of common stock issuable upon the exercise of outstanding options, 4,004,505 shares of common stock issuable upon the vesting and settlement of RSUs, and 2,521,754 shares of common stock issuable upon the vesting and settlement of PRSUs.</w:t>
            </w:r>
          </w:p>
        </w:tc>
      </w:tr>
    </w:tbl>
    <w:tbl>
      <w:tblPr>
        <w:tblW w:w="9808" w:type="dxa"/>
        <w:jc w:val="left"/>
        <w:tblInd w:w="0" w:type="dxa"/>
        <w:tblLayout w:type="fixed"/>
        <w:tblCellMar>
          <w:top w:w="28" w:type="dxa"/>
          <w:left w:w="28" w:type="dxa"/>
          <w:bottom w:w="28" w:type="dxa"/>
          <w:right w:w="28" w:type="dxa"/>
        </w:tblCellMar>
      </w:tblPr>
      <w:tblGrid>
        <w:gridCol w:w="136"/>
        <w:gridCol w:w="119"/>
        <w:gridCol w:w="119"/>
        <w:gridCol w:w="2762"/>
        <w:gridCol w:w="2762"/>
        <w:gridCol w:w="391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w:t>
            </w:r>
          </w:p>
        </w:tc>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RSUs and PRSUs do not have any exercise price, such units are not included in the weighted average exercise price calculation.</w:t>
            </w:r>
          </w:p>
        </w:tc>
      </w:tr>
    </w:tbl>
    <w:tbl>
      <w:tblPr>
        <w:tblW w:w="10205" w:type="dxa"/>
        <w:jc w:val="left"/>
        <w:tblInd w:w="0" w:type="dxa"/>
        <w:tblLayout w:type="fixed"/>
        <w:tblCellMar>
          <w:top w:w="28" w:type="dxa"/>
          <w:left w:w="28" w:type="dxa"/>
          <w:bottom w:w="28" w:type="dxa"/>
          <w:right w:w="28" w:type="dxa"/>
        </w:tblCellMar>
      </w:tblPr>
      <w:tblGrid>
        <w:gridCol w:w="132"/>
        <w:gridCol w:w="115"/>
        <w:gridCol w:w="115"/>
        <w:gridCol w:w="2880"/>
        <w:gridCol w:w="2880"/>
        <w:gridCol w:w="4083"/>
      </w:tblGrid>
      <w:tr>
        <w:trPr/>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w:t>
            </w:r>
          </w:p>
        </w:tc>
        <w:tc>
          <w:tcPr>
            <w:tcW w:w="984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there were 2,328,350 shares of common stock available for grant under the 2019 Plan and 1,679,607 shares of common stock available for grant under the 2019 ESPP.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AND MANAGEMENT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capital stock as of April 15, 2026, for: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each of our named executive officers for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each of our current directors as of April 15,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 of our current directors and executive officers as a group;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each person known by us to be the beneficial owner of more than five percent of the outstanding shares of our 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based percentage ownership of our capital stock on 73,891,093 shares of our common stock outstanding on April 15, 2026. We have deemed shares of our common stock subject to options that are currently exercisable or exercisable within 60 days of April 15, 2026 and RSUs that will vest within 60 days of April 15, 2026 to be outstanding and to be beneficially owned by the person holding the option or RSU for the purpose of computing the percentage ownership of that person, but have not treated them as outstanding for the purpose of computing the percentage ownership of any other person.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in the table below is c/o Health Catalyst, Inc., 10897 South River Front Parkway #300, South Jordan, Utah 84095.</w:t>
      </w:r>
    </w:p>
    <w:tbl>
      <w:tblPr>
        <w:tblW w:w="8780" w:type="dxa"/>
        <w:jc w:val="left"/>
        <w:tblInd w:w="0" w:type="dxa"/>
        <w:tblLayout w:type="fixed"/>
        <w:tblCellMar>
          <w:top w:w="28" w:type="dxa"/>
          <w:left w:w="28" w:type="dxa"/>
          <w:bottom w:w="28" w:type="dxa"/>
          <w:right w:w="28" w:type="dxa"/>
        </w:tblCellMar>
      </w:tblPr>
      <w:tblGrid>
        <w:gridCol w:w="2027"/>
        <w:gridCol w:w="1784"/>
        <w:gridCol w:w="1798"/>
        <w:gridCol w:w="540"/>
        <w:gridCol w:w="541"/>
        <w:gridCol w:w="266"/>
        <w:gridCol w:w="221"/>
        <w:gridCol w:w="221"/>
        <w:gridCol w:w="221"/>
        <w:gridCol w:w="255"/>
        <w:gridCol w:w="256"/>
        <w:gridCol w:w="650"/>
      </w:tblGrid>
      <w:tr>
        <w:trPr/>
        <w:tc>
          <w:tcPr>
            <w:tcW w:w="20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171" w:type="dxa"/>
            <w:gridSpan w:val="9"/>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Shares Beneficially Owned</w:t>
            </w:r>
          </w:p>
        </w:tc>
      </w:tr>
      <w:tr>
        <w:trPr/>
        <w:tc>
          <w:tcPr>
            <w:tcW w:w="5609"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34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Number</w:t>
            </w:r>
          </w:p>
        </w:tc>
        <w:tc>
          <w:tcPr>
            <w:tcW w:w="66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16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Percentage</w:t>
            </w:r>
          </w:p>
        </w:tc>
      </w:tr>
      <w:tr>
        <w:trPr/>
        <w:tc>
          <w:tcPr>
            <w:tcW w:w="56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 Stockholders:</w:t>
            </w:r>
          </w:p>
        </w:tc>
        <w:tc>
          <w:tcPr>
            <w:tcW w:w="134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First Light Asset Management , LLC</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12,884,373 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Whetstone Capital Advisors</w:t>
            </w:r>
            <w:r>
              <w:rPr>
                <w:rFonts w:ascii="Times New Roman;serif" w:hAnsi="Times New Roman;serif"/>
                <w:b w:val="false"/>
                <w:color w:val="000000"/>
                <w:sz w:val="13"/>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5,782,941 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Blackrock</w:t>
            </w:r>
            <w:r>
              <w:rPr>
                <w:rFonts w:ascii="Times New Roman;serif" w:hAnsi="Times New Roman;serif"/>
                <w:b w:val="false"/>
                <w:color w:val="000000"/>
                <w:sz w:val="13"/>
              </w:rPr>
              <w:t>(3)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5,193,085 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CDC Financial, Inc.</w:t>
            </w:r>
            <w:r>
              <w:rPr>
                <w:rFonts w:ascii="Times New Roman;serif" w:hAnsi="Times New Roman;serif"/>
                <w:b w:val="false"/>
                <w:color w:val="000000"/>
                <w:sz w:val="13"/>
              </w:rPr>
              <w:t>(4)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3,898,778 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 and Named Executive Officers: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Mathew Arens</w:t>
            </w:r>
            <w:r>
              <w:rPr>
                <w:rFonts w:ascii="Times New Roman;serif" w:hAnsi="Times New Roman;serif"/>
                <w:b w:val="false"/>
                <w:color w:val="000000"/>
                <w:sz w:val="13"/>
              </w:rPr>
              <w:t>(5)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13,465,373 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Jill Hoggard Green</w:t>
            </w:r>
            <w:r>
              <w:rPr>
                <w:rFonts w:ascii="Times New Roman;serif" w:hAnsi="Times New Roman;serif"/>
                <w:b w:val="false"/>
                <w:color w:val="000000"/>
                <w:sz w:val="13"/>
              </w:rPr>
              <w:t>(6)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Kolb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Julie Larson-Green</w:t>
            </w:r>
            <w:r>
              <w:rPr>
                <w:rFonts w:ascii="Times New Roman;serif" w:hAnsi="Times New Roman;serif"/>
                <w:b w:val="false"/>
                <w:color w:val="000000"/>
                <w:sz w:val="13"/>
              </w:rPr>
              <w:t>(7)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Justin Spencer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Daniel Burton</w:t>
            </w:r>
            <w:r>
              <w:rPr>
                <w:rFonts w:ascii="Times New Roman;serif" w:hAnsi="Times New Roman;serif"/>
                <w:b w:val="false"/>
                <w:color w:val="000000"/>
                <w:sz w:val="13"/>
              </w:rPr>
              <w:t>(8)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Benjamin Albert</w:t>
            </w:r>
            <w:r>
              <w:rPr>
                <w:rFonts w:ascii="Times New Roman;serif" w:hAnsi="Times New Roman;serif"/>
                <w:b w:val="false"/>
                <w:color w:val="000000"/>
                <w:sz w:val="13"/>
              </w:rPr>
              <w:t>(9)</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315,159</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Jason Alger</w:t>
            </w:r>
            <w:r>
              <w:rPr>
                <w:rFonts w:ascii="Times New Roman;serif" w:hAnsi="Times New Roman;serif"/>
                <w:b w:val="false"/>
                <w:color w:val="000000"/>
                <w:sz w:val="13"/>
              </w:rPr>
              <w:t>(10)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Benjamin Landry</w:t>
            </w:r>
            <w:r>
              <w:rPr>
                <w:rFonts w:ascii="Times New Roman;serif" w:hAnsi="Times New Roman;serif"/>
                <w:b w:val="false"/>
                <w:color w:val="000000"/>
                <w:sz w:val="13"/>
              </w:rPr>
              <w:t>(11)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w:t>
            </w:r>
            <w:r>
              <w:rPr>
                <w:rFonts w:ascii="Times New Roman;serif" w:hAnsi="Times New Roman;serif"/>
                <w:b w:val="false"/>
                <w:color w:val="000000"/>
                <w:sz w:val="13"/>
              </w:rPr>
              <w:t>(12)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288,887 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LeSueur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All current directors and executive officers as a group (9 persons)</w:t>
            </w:r>
            <w:r>
              <w:rPr>
                <w:rFonts w:ascii="Times New Roman;serif" w:hAnsi="Times New Roman;serif"/>
                <w:b w:val="false"/>
                <w:color w:val="000000"/>
                <w:sz w:val="13"/>
              </w:rPr>
              <w:t>(13)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14,395,291 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333"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Represents beneficial ownership of less than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
        <w:gridCol w:w="117"/>
        <w:gridCol w:w="110"/>
        <w:gridCol w:w="2881"/>
        <w:gridCol w:w="2881"/>
        <w:gridCol w:w="4079"/>
      </w:tblGrid>
      <w:tr>
        <w:trPr/>
        <w:tc>
          <w:tcPr>
            <w:tcW w:w="1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Based on information reported by First Light Asset Management, LLC (First Light) on Schedule 13D/A filed by First Light and Mr. Arens with the SEC on March 13, 2026, as of March 12, 2026, First Light’s beneficial ownership consisted of 12,884,373 shares of common stock over which First Light held shared voting power with Mr. Arens. First Light listed its address as 3300 Edinborough Way, Suite 201, Edina, MN 55435. </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by Whetstone Capital Advisors, LLC (Whetstone) and David Atterbury on Schedule 13D/A filed by Whetstone and David Atterbury with the SEC on February 18, 2026, as of February 17, 2026, each of Whetstone and David Atterbury’s beneficial ownership consisted of 5,782,941 shares of common stock, over which Whetstone and David Atterbury each held shared voting power and shared dispositive power. Whetstone and David Atterbury listed their address as 2001 Shawnee Mission Pkwy, Mission Woods, KS 66205.</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by Blackrock, Inc. on Schedule 13F-HR filed with the SEC on February 12, 2026, as of December 31, 2025, Blackrock, Inc.’s beneficial ownership consisted of 5,007,764 shares of common stock, over which Blackrock, Inc. held sole voting power and sole dispositive power. Blackrock, Inc. listed its address as 50 Hudson Yards, New York, NY 10001.</w:t>
            </w:r>
          </w:p>
        </w:tc>
      </w:tr>
      <w:tr>
        <w:trPr/>
        <w:tc>
          <w:tcPr>
            <w:tcW w:w="364" w:type="dxa"/>
            <w:gridSpan w:val="3"/>
            <w:tcBorders/>
            <w:vAlign w:val="center"/>
          </w:tcPr>
          <w:p>
            <w:pPr>
              <w:pStyle w:val="TableContents"/>
              <w:bidi w:val="0"/>
              <w:spacing w:before="0" w:after="283"/>
              <w:jc w:val="left"/>
              <w:rPr>
                <w:sz w:val="4"/>
                <w:szCs w:val="4"/>
              </w:rPr>
            </w:pPr>
            <w:r>
              <w:rPr>
                <w:sz w:val="4"/>
                <w:szCs w:val="4"/>
              </w:rPr>
            </w:r>
          </w:p>
        </w:tc>
        <w:tc>
          <w:tcPr>
            <w:tcW w:w="9841" w:type="dxa"/>
            <w:gridSpan w:val="3"/>
            <w:tcBorders/>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on a Schedule 13G filed with the SEC on December 22, 2025 by a group consisting of CDC Financial, Inc. (CDC), Stoney Lonesome HF LP (Stoney), Coghill Capital Management LLC (Coghill Capital), Drake Helix Holdings, LLC (Helix Holdings), and Clint Coghill (Clint Coghill, together with CDC, Stoney, Coghill Capital and Helix Holdings, the CDC Group), as of December 15, 2025, the CDC Group was the beneficial owner of an aggregate of 3,897,678 shares of common stock, over which (a) CDC held sole voting power and sole dispositive power over 0 shares of common stock and held shared voting power and shared dispositive power over 3,897,678 shares of common stock, (b) Stoney held sole voting power and sole dispositive power over 0 shares of common stock and held shared voting power and shared dispositive power over 3,775,678 shares of common stock, (c) Coghill Capital held sole voting power and sole dispositive power over 0 shares of common stock and held shared voting power and shared dispositive power over 3,775,678 shares of common stock, (d) Helix Holdings held sole voting power and sole dispositive power over 0 shares of common stock and held shared voting power and shared dispositive power over 122,000 shares of common stock, and (e) Clint Coghill held sole voting power and sole dispositive power over 1,100 shares of common stock and held shared voting power and shared dispositive power over 3,897,678 shares of common stock. The CDC Group listed their address as 222 S Riverside Plaza, 15th Floor, Chicago, IL 60606.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by First Light and Mr. Arens in the First Light Schedule 13D/A, as of March 12, 2026, Mr. Aren’s beneficial ownership consisted of 13,465,373 shares of common stock, over which Mr. Arens held sole voting power and sole dispositive power over 509,500 shares of common stock and shared voting power and shared dispositive power over 12,955,873 shares of common stock.</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9,235 shares of common stock and (b) 36,231 shares of common stock underlying RSUs vesting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45,703 shares of common stock and (b) 36,231 shares of common stock underlying RSUs vesting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1,227,393 shares of common stock and (b) 188,601 shares of common stock underlying options exercisable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197,617 shares of common stock and (b) 117,542 shares of common stock underlying RSUs vesting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166,099 shares of common stock, (b) 10,043 shares of common stock underlying options exercisable within 60 days of April 15, 2026, and (c) 64,770 shares of common stock underlying RSUs vesting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44,508 shares of common stock and (b) 40,958 shares of common stock underlying RSUs vesting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260,553 shares of common stock and (b) 28,334 shares of common stock underlying RSUs vesting within 60 days of April 15,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directors and executive officers as a group includes the aggregate shares of common stock beneficially owned by the directors and executive officers of the company as of April 15, 2026, which consists of (a) 14,031,731 shares of common stock, (b) 38,516 shares of common stock underlying options exercisable within 60 days of April 15, 2026, and (c)325,044 shares of common stock underlying RSUs vesting within 60 days of April 15, 2026.</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(i) Daniel Burton stepped down as our Chief Executive Officer as of February 12, 2026 and stepped down as a member of our board of directors as of February 17, 2026, (ii) Duncan Gallagher stepped down as a member of our board of directors as of February 17, 2026, (iii) Dawn Smith stepped down as a member of our board of directors as of February 17, 2026, and (iv) John A. Kane stepped down as a member of our board of directors as of April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Steve Nelson has been appointed to our Board effective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certain transactions, arrangements, and relationships with our directors, executive officers, and stockholders owning 5% or more of our outstanding capital stock, or any member of the immediate family of the foregoing persons, since January 1, 2025, other than equity and other compensation, change in control arrangements, indemnification arrangements, and other arrangements discussed in the section titled “Executive Compensation” and “Management—Non-Employee Director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Employment Arrangements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Jeffrey Selander, the brother-in-law of Daniel Burton (our former CEO and director), is a non-executive employee, currently serving as Senior Vice President, and has served with us since September 2011. Mr. Selander’s total compensation for the fiscal year ended December 31, 2025 was $566,610, including RSU grants with an aggregate grant date fair value of $254,807. Jeffrey Selander does not live in the same household as Daniel Burton.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Andrew Cardon, the brother-in-law of Daniel LeSueur (our former Chief Operating Officer), is a non-executive employee, currently serving as Strategic Account Executive, and has served with us since December 2011. Mr. Cardon’s total compensation for the fiscal year ended December 31, 2025 was $346,949, including RSU grants with an aggregate grant date fair value of $42,172. Mr. Cardon does not live in the same household as Daniel LeSueur.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employment agreements with certain of our executive officers. For more information regarding these agreements with our named executive officers, see the section titled “Executive Compensation—Narrative to Summary Compensation Table—Executive employment arrangements.”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Customer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Matthew Kolb, a member of our board of directors since July 2023, serves as the Executive Vice President and Chief Operating Officer of Carle Health, a non-profit hospital network. We maintain on-going technology and professional service relationships with Carle Health, including technology access and professional services that includes Tech-enabled Managed Services (i.e., TEMS). We recognized revenue under these related party contracts of $17.7 million during the fiscal year ended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Letter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appointment of Mr. Arens to our board of directors, on December 1, 2025, we entered into a letter agreement with First Light and Mr. Arens (the Letter Agreement). Pursuant to the Letter Agreement, First Light and Mr. Arens have agreed to vote their shares to be present for quorum purposes and to vote their shares in accordance with the recommendations of our board of directors at each annual or special meeting of our stockholders or action by written consent, subject to listed exceptions. First Light and Mr. Arens also agreed to abide by certain confidentiality commitments. The Letter Agreement will remain in effect until Mr. Arens ceases to serve as a director on our board of directors. First Light is the Company’s largest stockholder, and First Light and Mr. Arens collectively own approximately 13.5 million shares of common stock, or approximately 18% of the Company’s outstanding shares of common stock. The foregoing summary of the Letter Agreement does not purport to be complete and is subject to and is qualified in its entirety by the terms of the Letter Agreement, a copy of which is filed as Exhibit 10.13 to our Original Form 10-K.</w:t>
      </w:r>
    </w:p>
    <w:p>
      <w:pPr>
        <w:pStyle w:val="TextBody"/>
        <w:bidi w:val="0"/>
        <w:spacing w:before="0" w:after="0"/>
        <w:jc w:val="both"/>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Limitation of Liability and Indemnification of Directors and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an amended and restated certificate of incorporation, which contains provisions that limit the liability of our directors for monetary damages to the fullest extent permitted by Delaware law. Consequently, our directors are not be personally liable to us or our stockholders for monetary damages for any breach of fiduciary duties as directors, except liability for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breach of their duty of loyalty to our company or our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act or omission not in good faith or that involves intentional misconduct or a knowing violation of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unlawful payments of dividends or unlawful stock repurchases or redemptions as provided in Section 174 of the Delaware General Corporation Law;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transaction from which they derived an improper personal benefit.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(as amended, the DGCL) is amended to provide for further limitations on the personal liability of directors of corporations, then the personal liability of our directors will be further limited to the greatest extent permitted by the DGCL.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have adopted amended and restated bylaws, which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limited exceptions.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that are included in our amended and restated certificate of incorporation, our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Certain of our non-employee directors may, through their relationships with their employers, be insured and/or indemnified against certain liabilities incurred in their capacity as members of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Related Party Transaction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 formal policy by which our audit committee has the primary responsibility for reviewing and approving related person transactions. A related person transaction is a transaction, arrangement, or relationship, or any series of similar transactions, arrangements or relationships, in which we and any related person are, were, or will be participants and in which the amount involved exceeds $120,000.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under our Code of Conduct, our employees and directors have an affirmative responsibility to disclose any transaction or relationship that reasonably could be expected to give rise to a conflict of interest.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considering related person transactions, our audit committee, or other independent body of our board of directors, will take into account the relevant available facts and circumstances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4"/>
        <w:gridCol w:w="2837"/>
        <w:gridCol w:w="4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risks, costs, and benefits to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impact on a director’s independence in the event that the related person is a director, immediate family member of a director, or an entity with which a director is affiliated;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availability of other sources for comparable services or products;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terms available to or from, as the case may be, unrelated third parties or to or from employees generally.</w:t>
            </w:r>
          </w:p>
        </w:tc>
      </w:tr>
    </w:tbl>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employment agreements for Mr. Selander and Mr. Cardon described above were entered into prior to the adoption of the written policy. The employment arrangements and stock option grants to directors and officers described above were approved by our board of directors considering similar factors to those described above.</w:t>
      </w:r>
    </w:p>
    <w:p>
      <w:pPr>
        <w:pStyle w:val="TextBody"/>
        <w:bidi w:val="0"/>
        <w:spacing w:before="3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Independence of Our Board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Nasdaq. Under the Nasdaq listing standards, independent directors must constitute a majority of a listed company’s board. In addition, the Nasdaq listing standards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Audit committee members must also satisfy the additional independence criteria set forth in Rule 10A-3 under Exchange Act and the Nasdaq listing standards. Compensation committee members must also satisfy the additional independence criteria set forth in Rule 10C-1 under the Exchange Act and the Nasdaq listing standards.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undertaken a review of the independence of each director. Based on information provided by each director concerning his or her background, employment, and affiliations, our board has determined that none of Messrs. Arens and Spencer, nor Mses. Hoggard Green and Larson-Green have a relationship that would interfere with the exercise of independent judgment in carrying out the responsibilities of a director and that each of these directors is “independent” as that term is defined under the applicable rules and regulations of the SEC and the Nasdaq listing standards. Dawn Smith served as a member of our board during the fiscal year ended December 31, 2020, until February 17, 2026. Duncan Gallagher served as a member of our board during the fiscal year ended December 31, 2017 until February 17, 2026. John A. Kane served as a member of our board during the fiscal year ended December 31, 2016 until April 1, 2026. Our board determined that Ms. Smith and Messrs. Gallagher and Kane were “independent” as defined under the applicable rules and regulations of the SEC and the Nasdaq listing standards.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Ernst &amp; Young LLP.</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Policy on Audit Committee Pre-Approval of Audit and Permissible Non-Audit Services of Independent Registered Public Accounting Firm </w:t>
      </w:r>
    </w:p>
    <w:p>
      <w:pPr>
        <w:pStyle w:val="TextBody"/>
        <w:bidi w:val="0"/>
        <w:spacing w:lineRule="auto" w:line="288" w:before="120" w:after="283"/>
        <w:jc w:val="both"/>
        <w:rPr/>
      </w:pPr>
      <w:r>
        <w:rPr>
          <w:rFonts w:ascii="Times New Roman;serif" w:hAnsi="Times New Roman;serif"/>
          <w:b w:val="false"/>
          <w:color w:val="000000"/>
          <w:sz w:val="20"/>
        </w:rPr>
        <w:t xml:space="preserve">We have adopted a policy under which our audit committee must pre-approve all audit and permissible non-audit services to be provided by the independent registered public accounting firm. As part of its review, our audit committee also considers whether the categories of pre-approved services are consistent with the rules on accountant independence of the SEC and the Public Company Accounting Oversight Board. Our audit committee pre-approved all services performed by the independent registered public accounting firm in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Audit Fees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fees billed or to be billed by Ernst &amp; Young LLP and its affiliates for professional services rendered with respect to the fiscal years ended December 31, 2025 and 2024, inclusive of out-of-pocket expenses. All of these services were approved by our audit committee.</w:t>
      </w:r>
    </w:p>
    <w:tbl>
      <w:tblPr>
        <w:tblW w:w="4971"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11"/>
        <w:gridCol w:w="976"/>
        <w:gridCol w:w="109"/>
        <w:gridCol w:w="109"/>
        <w:gridCol w:w="109"/>
        <w:gridCol w:w="109"/>
        <w:gridCol w:w="211"/>
        <w:gridCol w:w="97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Fee 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2025</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2024</w:t>
            </w:r>
          </w:p>
        </w:tc>
      </w:tr>
      <w:tr>
        <w:trPr/>
        <w:tc>
          <w:tcPr>
            <w:tcW w:w="16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2,235,000 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2,012,338 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
        <w:gridCol w:w="114"/>
        <w:gridCol w:w="114"/>
        <w:gridCol w:w="2875"/>
        <w:gridCol w:w="2875"/>
        <w:gridCol w:w="4097"/>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Audit Fees consist of fees for professional services provided in connection with the audit of our consolidated financial statements, reviews of our quarterly condensed consolidated financial statements, and accounting consultations billed as audit services.</w:t>
            </w:r>
          </w:p>
        </w:tc>
      </w:tr>
      <w:tr>
        <w:trPr/>
        <w:tc>
          <w:tcPr>
            <w:tcW w:w="358" w:type="dxa"/>
            <w:gridSpan w:val="3"/>
            <w:tcBorders/>
            <w:vAlign w:val="center"/>
          </w:tcPr>
          <w:p>
            <w:pPr>
              <w:pStyle w:val="TableContents"/>
              <w:bidi w:val="0"/>
              <w:spacing w:before="0" w:after="283"/>
              <w:jc w:val="left"/>
              <w:rPr>
                <w:sz w:val="4"/>
                <w:szCs w:val="4"/>
              </w:rPr>
            </w:pPr>
            <w:r>
              <w:rPr>
                <w:sz w:val="4"/>
                <w:szCs w:val="4"/>
              </w:rPr>
            </w:r>
          </w:p>
        </w:tc>
        <w:tc>
          <w:tcPr>
            <w:tcW w:w="9847" w:type="dxa"/>
            <w:gridSpan w:val="3"/>
            <w:tcBorders/>
            <w:vAlign w:val="center"/>
          </w:tcPr>
          <w:p>
            <w:pPr>
              <w:pStyle w:val="TableContents"/>
              <w:bidi w:val="0"/>
              <w:spacing w:before="0" w:after="283"/>
              <w:jc w:val="left"/>
              <w:rPr>
                <w:sz w:val="4"/>
                <w:szCs w:val="4"/>
              </w:rPr>
            </w:pPr>
            <w:r>
              <w:rPr>
                <w:sz w:val="4"/>
                <w:szCs w:val="4"/>
              </w:rPr>
            </w:r>
          </w:p>
        </w:tc>
      </w:tr>
      <w:tr>
        <w:trPr/>
        <w:tc>
          <w:tcPr>
            <w:tcW w:w="358" w:type="dxa"/>
            <w:gridSpan w:val="3"/>
            <w:tcBorders/>
            <w:vAlign w:val="center"/>
          </w:tcPr>
          <w:p>
            <w:pPr>
              <w:pStyle w:val="TableContents"/>
              <w:bidi w:val="0"/>
              <w:spacing w:before="0" w:after="283"/>
              <w:jc w:val="left"/>
              <w:rPr>
                <w:sz w:val="4"/>
                <w:szCs w:val="4"/>
              </w:rPr>
            </w:pPr>
            <w:r>
              <w:rPr>
                <w:sz w:val="4"/>
                <w:szCs w:val="4"/>
              </w:rPr>
            </w:r>
          </w:p>
        </w:tc>
        <w:tc>
          <w:tcPr>
            <w:tcW w:w="98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 </w:t>
      </w:r>
      <w:r>
        <w:rPr>
          <w:rFonts w:ascii="Times New Roman;serif" w:hAnsi="Times New Roman;serif"/>
          <w:b w:val="false"/>
          <w:color w:val="000000"/>
          <w:sz w:val="20"/>
        </w:rPr>
        <w:t>The following documents were filed as part of our Original Form 10-K:</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Financial Statements: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Index to Financial Statements in Item 8 of our Original Form 10-K.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Financial Statement Schedules: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Reference is made to the financial statement schedules included under Item 8 of Part II in our Original Form 10-K. All other schedules are omitted because they are not applicable, not required or the information is shown in the financial statements or the notes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exhibits listed in the following Exhibit Index are filed or incorporated by reference as part of this Amendment.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1962"/>
        <w:gridCol w:w="1693"/>
        <w:gridCol w:w="1699"/>
        <w:gridCol w:w="423"/>
        <w:gridCol w:w="423"/>
        <w:gridCol w:w="425"/>
        <w:gridCol w:w="466"/>
        <w:gridCol w:w="466"/>
        <w:gridCol w:w="467"/>
        <w:gridCol w:w="334"/>
        <w:gridCol w:w="334"/>
        <w:gridCol w:w="467"/>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c>
          <w:tcPr>
            <w:tcW w:w="1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Incorporated by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Reference from Form</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br/>
              <w:t>from Exhibit Number</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Agreement and Plan of Merger, dated January 10, 2025, by and among Health Catalyst, Inc., Upfront Healthcare Services, Inc., and the other parties named therein.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2025</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Amended and Restated Certificate of Incorporation.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Amended and Restated Bylaws.</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Amendment to the Amended and Restated Bylaws</w:t>
              </w:r>
            </w:hyperlink>
            <w:r>
              <w:rPr>
                <w:rFonts w:ascii="Times New Roman;serif" w:hAnsi="Times New Roman;serif"/>
                <w:b w:val="false"/>
                <w:color w:val="000000"/>
                <w:sz w:val="20"/>
              </w:rPr>
              <w:t>.</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2021</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common stock certificate.</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Fifth Amended and Restated Registration Agreement, dated February 6, 2019, by and among the Registrant and certain of its stockholders.</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Fifth Amended and Restated Investor Rights Agreement, dated February 6, 2019, by and among the Registrant and certain of its stockholders.</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Fifth Amended and Restated Stockholders Agreement, dated February 6, 2019, by and among the Registrant and certain of its stockholders.</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Amendment No. 1 to Financing Documents, dated July 10, 2019, by and among the Registrant and certain of its stockholders.</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 xml:space="preserve">Description of securities registered under Section 12 of the Exchange Act. </w:t>
              </w:r>
            </w:hyperlink>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2020</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Non-Employee Director Compensation Policy.</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2025</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2019 Stock Option and Incentive Plan, and forms of agreements thereunder.</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Amended and Restated 2011 Stock Incentive Plan, and forms of agreements thereunder.</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2019 Employee Stock Purchase Plan.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12,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Amended and Restated Executive Severance Plan.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Offer Letter, dated August 7, 2020, between the Registrant and Kevin Freeman.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Offer Letter, dated September 26, 2011, between the Registrant and Daniel Burton.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Offer Letter, dated May 22, 2013, between the Registrant and Linda Llewelyn.</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Offer Letter, dated April 4, 2013, between the Registrant and Jason Alger.</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2021</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Offer Letter, dated March 27, 2023, between the Registrant and Ben Landry</w:t>
              </w:r>
            </w:hyperlink>
            <w:r>
              <w:rPr>
                <w:rFonts w:ascii="Times New Roman;serif" w:hAnsi="Times New Roman;serif"/>
                <w:b w:val="false"/>
                <w:color w:val="000000"/>
                <w:sz w:val="20"/>
              </w:rPr>
              <w:t>.</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2023</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Offer Letter, dated September 5, 2025, between the Registrant and Benjamin Albert.</w:t>
              </w:r>
            </w:hyperlink>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Offer Letter, dated February 12, 2026, between the Registrant and Benjamin Albert</w:t>
              </w:r>
            </w:hyperlink>
            <w:r>
              <w:rPr>
                <w:rFonts w:ascii="Times New Roman;serif" w:hAnsi="Times New Roman;serif"/>
                <w:b w:val="false"/>
                <w:color w:val="000000"/>
                <w:sz w:val="20"/>
              </w:rPr>
              <w:t>.</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18, 2026</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0"/>
        <w:gridCol w:w="220"/>
        <w:gridCol w:w="222"/>
        <w:gridCol w:w="109"/>
        <w:gridCol w:w="109"/>
        <w:gridCol w:w="109"/>
        <w:gridCol w:w="2217"/>
        <w:gridCol w:w="2095"/>
        <w:gridCol w:w="2099"/>
        <w:gridCol w:w="353"/>
        <w:gridCol w:w="345"/>
        <w:gridCol w:w="286"/>
        <w:gridCol w:w="189"/>
        <w:gridCol w:w="189"/>
        <w:gridCol w:w="193"/>
        <w:gridCol w:w="355"/>
        <w:gridCol w:w="355"/>
        <w:gridCol w:w="51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Letter of Agreement, among the Registrant, First Light Asset Management, LLC and Mathew Arens</w:t>
              </w:r>
            </w:hyperlink>
            <w:r>
              <w:rPr>
                <w:rFonts w:ascii="Times New Roman;serif" w:hAnsi="Times New Roman;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 2025</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Senior Executive Cash Incentive Bonus Plan.</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Indemnification Agreement, between the Registrant and each of its executive officers and directors.</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2019</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Insider Trading Policy</w:t>
              </w:r>
            </w:hyperlink>
            <w:r>
              <w:rPr>
                <w:rFonts w:ascii="Times New Roman;serif" w:hAnsi="Times New Roman;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2025</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Subsidiaries of Registrant.</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Consent of Independent Registered Public Accounting Firm.</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"https://www.sec.gov/ix?doc=/Archives/edgar/data/0001636422/000163642226000035/hcat-20251231.htm" \l "i37640230070a423b810e50e0ad815973_232"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 (included on signature page to this Annual Report on Form 10-K).</w:t>
            </w:r>
            <w:r>
              <w:rPr>
                <w:rStyle w:val="InternetLink"/>
                <w:sz w:val="20"/>
                <w:u w:val="single"/>
                <w:b w:val="false"/>
                <w:rFonts w:ascii="Times New Roman;serif" w:hAnsi="Times New Roman;serif"/>
                <w:color w:val="0000FF"/>
              </w:rPr>
              <w:fldChar w:fldCharType="end"/>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ye2025-10xkaex311xcertific.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ye2025-10xkaex312xcertific.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Policy for Recovery of Erroneously Awarded Compensation</w:t>
              </w:r>
            </w:hyperlink>
            <w:r>
              <w:rPr>
                <w:rFonts w:ascii="Times New Roman;serif" w:hAnsi="Times New Roman;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22, 2024</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The certifications attached as Exhibit 32.1 hereto are deemed to accompany the Original Form 10-K, and are deemed furnished and not filed with the Securities and Exchange Commission and are not to be incorporated by reference into any filing of Health Catalyst, Inc. under the Securities Act of 1933, as amended, or the Securities Exchange Act of 1934, as amended, whether made before or after the date of this Amendment, irrespective of any general incorporation language contained in such filing.</w:t>
      </w:r>
    </w:p>
    <w:p>
      <w:pPr>
        <w:pStyle w:val="TextBody"/>
        <w:bidi w:val="0"/>
        <w:spacing w:before="6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16. Form 10-K Summary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22" w:type="dxa"/>
        <w:jc w:val="left"/>
        <w:tblInd w:w="0" w:type="dxa"/>
        <w:tblLayout w:type="fixed"/>
        <w:tblCellMar>
          <w:top w:w="28" w:type="dxa"/>
          <w:left w:w="28" w:type="dxa"/>
          <w:bottom w:w="28" w:type="dxa"/>
          <w:right w:w="28" w:type="dxa"/>
        </w:tblCellMar>
      </w:tblPr>
      <w:tblGrid>
        <w:gridCol w:w="526"/>
        <w:gridCol w:w="463"/>
        <w:gridCol w:w="466"/>
        <w:gridCol w:w="399"/>
        <w:gridCol w:w="399"/>
        <w:gridCol w:w="399"/>
        <w:gridCol w:w="1131"/>
        <w:gridCol w:w="1131"/>
        <w:gridCol w:w="1608"/>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CATALYST, INC.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4/30/2026</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Albert</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4/30/2026</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Alger</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Benjamin Albert,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Amendment No. 1 to the Annual Report on Form 10-K of Health Catalyst, Inc.;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2846" w:type="dxa"/>
        <w:jc w:val="left"/>
        <w:tblInd w:w="0" w:type="dxa"/>
        <w:tblLayout w:type="fixed"/>
        <w:tblCellMar>
          <w:top w:w="28" w:type="dxa"/>
          <w:left w:w="28" w:type="dxa"/>
          <w:bottom w:w="28" w:type="dxa"/>
          <w:right w:w="28" w:type="dxa"/>
        </w:tblCellMar>
      </w:tblPr>
      <w:tblGrid>
        <w:gridCol w:w="894"/>
        <w:gridCol w:w="789"/>
        <w:gridCol w:w="791"/>
        <w:gridCol w:w="109"/>
        <w:gridCol w:w="109"/>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Albert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Jason Alger,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Amendment No. 1 to the Annual Report on Form 10-K of Health Catalyst, Inc.;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4211" w:type="dxa"/>
        <w:jc w:val="left"/>
        <w:tblInd w:w="0" w:type="dxa"/>
        <w:tblLayout w:type="fixed"/>
        <w:tblCellMar>
          <w:top w:w="28" w:type="dxa"/>
          <w:left w:w="28" w:type="dxa"/>
          <w:bottom w:w="28" w:type="dxa"/>
          <w:right w:w="28" w:type="dxa"/>
        </w:tblCellMar>
      </w:tblPr>
      <w:tblGrid>
        <w:gridCol w:w="1392"/>
        <w:gridCol w:w="1216"/>
        <w:gridCol w:w="1231"/>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636422/000163642225000028/exhibit21agreementandplano.htm" TargetMode="External"/><Relationship Id="rId7" Type="http://schemas.openxmlformats.org/officeDocument/2006/relationships/hyperlink" Target="https://www.sec.gov/Archives/edgar/data/1636422/000162828019008720/exhibit32s-1a1.htm" TargetMode="External"/><Relationship Id="rId8" Type="http://schemas.openxmlformats.org/officeDocument/2006/relationships/hyperlink" Target="https://www.sec.gov/Archives/edgar/data/1636422/000162828019008720/exhibit34s-1a1.htm" TargetMode="External"/><Relationship Id="rId9" Type="http://schemas.openxmlformats.org/officeDocument/2006/relationships/hyperlink" Target="https://www.sec.gov/Archives/edgar/data/1636422/000163642221000059/a2021item503ex31xamendment.htm" TargetMode="External"/><Relationship Id="rId10" Type="http://schemas.openxmlformats.org/officeDocument/2006/relationships/hyperlink" Target="https://www.sec.gov/Archives/edgar/data/1636422/000162828019008720/exhibit41s-1a1.htm" TargetMode="External"/><Relationship Id="rId11" Type="http://schemas.openxmlformats.org/officeDocument/2006/relationships/hyperlink" Target="https://www.sec.gov/Archives/edgar/data/1636422/000162828019008426/exhibit42s-1.htm" TargetMode="External"/><Relationship Id="rId12" Type="http://schemas.openxmlformats.org/officeDocument/2006/relationships/hyperlink" Target="https://www.sec.gov/Archives/edgar/data/1636422/000162828019008426/exhibit43s-1.htm" TargetMode="External"/><Relationship Id="rId13" Type="http://schemas.openxmlformats.org/officeDocument/2006/relationships/hyperlink" Target="https://www.sec.gov/Archives/edgar/data/1636422/000162828019008426/exhibit44s-1.htm" TargetMode="External"/><Relationship Id="rId14" Type="http://schemas.openxmlformats.org/officeDocument/2006/relationships/hyperlink" Target="https://www.sec.gov/Archives/edgar/data/1636422/000162828019008720/exhibit45s-1a1.htm" TargetMode="External"/><Relationship Id="rId15" Type="http://schemas.openxmlformats.org/officeDocument/2006/relationships/hyperlink" Target="https://www.sec.gov/Archives/edgar/data/1636422/000163642220000016/ye2019-10xkexhibit46xd.htm" TargetMode="External"/><Relationship Id="rId16" Type="http://schemas.openxmlformats.org/officeDocument/2006/relationships/hyperlink" Target="https://www.sec.gov/Archives/edgar/data/1636422/000163642225000051/exhibit101non-employeedire.htm" TargetMode="External"/><Relationship Id="rId17" Type="http://schemas.openxmlformats.org/officeDocument/2006/relationships/hyperlink" Target="https://www.sec.gov/Archives/edgar/data/1636422/000162828019008720/exhibit1012s-1a1.htm" TargetMode="External"/><Relationship Id="rId18" Type="http://schemas.openxmlformats.org/officeDocument/2006/relationships/hyperlink" Target="https://www.sec.gov/Archives/edgar/data/1636422/000162828019008426/exhibit1013s-1.htm" TargetMode="External"/><Relationship Id="rId19" Type="http://schemas.openxmlformats.org/officeDocument/2006/relationships/hyperlink" Target="https://www.sec.gov/Archives/edgar/data/1636422/000162828019008720/exhibit1014s-1a1.htm" TargetMode="External"/><Relationship Id="rId20" Type="http://schemas.openxmlformats.org/officeDocument/2006/relationships/hyperlink" Target="https://www.sec.gov/Archives/edgar/data/1636422/000163642226000035/ye2025-10xkex105xamendedan.htm" TargetMode="External"/><Relationship Id="rId21" Type="http://schemas.openxmlformats.org/officeDocument/2006/relationships/hyperlink" Target="https://www.sec.gov/Archives/edgar/data/1636422/000163642223000033/exhibit106xofferletterdate.htm" TargetMode="External"/><Relationship Id="rId22" Type="http://schemas.openxmlformats.org/officeDocument/2006/relationships/hyperlink" Target="https://www.sec.gov/Archives/edgar/data/1636422/000162828019008426/exhibit106s-1.htm" TargetMode="External"/><Relationship Id="rId23" Type="http://schemas.openxmlformats.org/officeDocument/2006/relationships/hyperlink" Target="https://www.sec.gov/Archives/edgar/data/1636422/000162828019008426/exhibit1010s-1.htm" TargetMode="External"/><Relationship Id="rId24" Type="http://schemas.openxmlformats.org/officeDocument/2006/relationships/hyperlink" Target="https://www.sec.gov/Archives/edgar/data/1636422/000163642221000026/exhibit1015xofferletterdat.htm" TargetMode="External"/><Relationship Id="rId25" Type="http://schemas.openxmlformats.org/officeDocument/2006/relationships/hyperlink" Target="https://www.sec.gov/Archives/edgar/data/1636422/000163642223000058/exhibit102xofferletterdate.htm" TargetMode="External"/><Relationship Id="rId26" Type="http://schemas.openxmlformats.org/officeDocument/2006/relationships/hyperlink" Target="https://www.sec.gov/Archives/edgar/data/1636422/000163642226000015/exhibit101-benalbertceooff.htm" TargetMode="External"/><Relationship Id="rId27" Type="http://schemas.openxmlformats.org/officeDocument/2006/relationships/hyperlink" Target="https://www.sec.gov/Archives/edgar/data/1636422/000163642226000015/exhibit101-benalbertceooff.htm" TargetMode="External"/><Relationship Id="rId28" Type="http://schemas.openxmlformats.org/officeDocument/2006/relationships/hyperlink" Target="https://www.sec.gov/Archives/edgar/data/1636422/000163642225000156/exhibit101letterofagreemen.htm" TargetMode="External"/><Relationship Id="rId29" Type="http://schemas.openxmlformats.org/officeDocument/2006/relationships/hyperlink" Target="https://www.sec.gov/Archives/edgar/data/1636422/000162828019008426/exhibit1015s-1.htm" TargetMode="External"/><Relationship Id="rId30" Type="http://schemas.openxmlformats.org/officeDocument/2006/relationships/hyperlink" Target="https://www.sec.gov/Archives/edgar/data/1636422/000162828019008426/exhibit1018s-1.htm" TargetMode="External"/><Relationship Id="rId31" Type="http://schemas.openxmlformats.org/officeDocument/2006/relationships/hyperlink" Target="https://www.sec.gov/Archives/edgar/data/1636422/000163642225000028/exhibit191insidertradingpo.htm" TargetMode="External"/><Relationship Id="rId32" Type="http://schemas.openxmlformats.org/officeDocument/2006/relationships/hyperlink" Target="https://www.sec.gov/Archives/edgar/data/1636422/000163642226000035/ye2025-10xkex211xsubsidiar.htm" TargetMode="External"/><Relationship Id="rId33" Type="http://schemas.openxmlformats.org/officeDocument/2006/relationships/hyperlink" Target="https://www.sec.gov/Archives/edgar/data/1636422/000163642226000035/ye2025-10xkex231xconsentof.htm" TargetMode="External"/><Relationship Id="rId34" Type="http://schemas.openxmlformats.org/officeDocument/2006/relationships/hyperlink" Target="https://www.sec.gov/Archives/edgar/data/1636422/000163642226000035/ye2025-10xkex321xcertifica.htm" TargetMode="External"/><Relationship Id="rId35" Type="http://schemas.openxmlformats.org/officeDocument/2006/relationships/hyperlink" Target="https://www.sec.gov/Archives/edgar/data/0001636422/000163642224000016/exhibit97-policyforrecover.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28051</Words>
  <Characters>153306</Characters>
  <CharactersWithSpaces>179960</CharactersWithSpaces>
  <Paragraphs>2718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