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Nelson Steven H</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620" w:type="dxa"/>
            <w:vAlign w:val="bottom"/>
            <w:tcBorders>
              <w:top w:val="single" w:sz="8" w:color="0000EE"/>
              <w:bottom w:val="single" w:sz="8" w:color="9A9A9A"/>
            </w:tcBorders>
          </w:tcPr>
          <w:p>
            <w:pPr>
              <w:spacing w:after="0"/>
              <w:rPr>
                <w:sz w:val="17"/>
                <w:szCs w:val="17"/>
                <w:color w:val="auto"/>
              </w:rPr>
            </w:pPr>
          </w:p>
        </w:tc>
        <w:tc>
          <w:tcPr>
            <w:tcW w:w="14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05/01/2026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Health Catalyst,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HCAT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157"/>
        <w:spacing w:after="0" w:line="338" w:lineRule="auto"/>
        <w:rPr>
          <w:sz w:val="20"/>
          <w:szCs w:val="20"/>
          <w:color w:val="auto"/>
        </w:rPr>
      </w:pPr>
      <w:r>
        <w:rPr>
          <w:rFonts w:ascii="Times New Roman" w:cs="Times New Roman" w:eastAsia="Times New Roman" w:hAnsi="Times New Roman"/>
          <w:sz w:val="20"/>
          <w:szCs w:val="20"/>
          <w:color w:val="0000FF"/>
        </w:rPr>
        <w:t>10897 S. RIVER FRONT PARKWAY SUITE 300</w:t>
      </w:r>
    </w:p>
    <w:p>
      <w:pPr>
        <w:spacing w:after="0" w:line="20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940" w:type="dxa"/>
            <w:vAlign w:val="bottom"/>
          </w:tcPr>
          <w:p>
            <w:pPr>
              <w:spacing w:after="0"/>
              <w:rPr>
                <w:sz w:val="20"/>
                <w:szCs w:val="20"/>
                <w:color w:val="auto"/>
              </w:rPr>
            </w:pPr>
            <w:r>
              <w:rPr>
                <w:rFonts w:ascii="Arial" w:cs="Arial" w:eastAsia="Arial" w:hAnsi="Arial"/>
                <w:sz w:val="15"/>
                <w:szCs w:val="15"/>
                <w:color w:val="auto"/>
              </w:rPr>
              <w:t>(Street)</w:t>
            </w:r>
          </w:p>
        </w:tc>
        <w:tc>
          <w:tcPr>
            <w:tcW w:w="7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9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SOUTH</w:t>
            </w:r>
          </w:p>
        </w:tc>
        <w:tc>
          <w:tcPr>
            <w:tcW w:w="760" w:type="dxa"/>
            <w:vAlign w:val="bottom"/>
            <w:vMerge w:val="restart"/>
          </w:tcPr>
          <w:p>
            <w:pPr>
              <w:ind w:left="120"/>
              <w:spacing w:after="0"/>
              <w:rPr>
                <w:sz w:val="20"/>
                <w:szCs w:val="20"/>
                <w:color w:val="auto"/>
              </w:rPr>
            </w:pPr>
            <w:r>
              <w:rPr>
                <w:rFonts w:ascii="Times New Roman" w:cs="Times New Roman" w:eastAsia="Times New Roman" w:hAnsi="Times New Roman"/>
                <w:sz w:val="20"/>
                <w:szCs w:val="20"/>
                <w:color w:val="0000FF"/>
              </w:rPr>
              <w:t>UT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rPr>
              <w:t>84095</w:t>
            </w:r>
          </w:p>
        </w:tc>
        <w:tc>
          <w:tcPr>
            <w:tcW w:w="0" w:type="dxa"/>
            <w:vAlign w:val="bottom"/>
          </w:tcPr>
          <w:p>
            <w:pPr>
              <w:spacing w:after="0"/>
              <w:rPr>
                <w:sz w:val="1"/>
                <w:szCs w:val="1"/>
                <w:color w:val="auto"/>
              </w:rPr>
            </w:pPr>
          </w:p>
        </w:tc>
      </w:tr>
      <w:tr>
        <w:trPr>
          <w:trHeight w:val="134"/>
        </w:trPr>
        <w:tc>
          <w:tcPr>
            <w:tcW w:w="9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JORDAN</w:t>
            </w:r>
          </w:p>
        </w:tc>
        <w:tc>
          <w:tcPr>
            <w:tcW w:w="76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940" w:type="dxa"/>
            <w:vAlign w:val="bottom"/>
            <w:vMerge w:val="continue"/>
          </w:tcPr>
          <w:p>
            <w:pPr>
              <w:spacing w:after="0"/>
              <w:rPr>
                <w:sz w:val="10"/>
                <w:szCs w:val="10"/>
                <w:color w:val="auto"/>
              </w:rPr>
            </w:pPr>
          </w:p>
        </w:tc>
        <w:tc>
          <w:tcPr>
            <w:tcW w:w="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No Securities are beneficially owned.</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Benjamin Landry, as</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05/04/2026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84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34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840" w:type="dxa"/>
            <w:vAlign w:val="bottom"/>
            <w:gridSpan w:val="2"/>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35" w:lineRule="exact"/>
        <w:rPr>
          <w:sz w:val="20"/>
          <w:szCs w:val="20"/>
          <w:color w:val="auto"/>
        </w:rPr>
      </w:pPr>
    </w:p>
    <w:p>
      <w:pPr>
        <w:ind w:right="1079" w:firstLine="702"/>
        <w:spacing w:after="0" w:line="238" w:lineRule="auto"/>
        <w:rPr>
          <w:sz w:val="20"/>
          <w:szCs w:val="20"/>
          <w:color w:val="auto"/>
        </w:rPr>
      </w:pPr>
      <w:r>
        <w:rPr>
          <w:rFonts w:ascii="Courier New" w:cs="Courier New" w:eastAsia="Courier New" w:hAnsi="Courier New"/>
          <w:sz w:val="20"/>
          <w:szCs w:val="20"/>
          <w:color w:val="auto"/>
        </w:rPr>
        <w:t>With respect to holdings of and transactions in securities issued by Health Catalyst, Inc. (the "Company"), the undersigned hereby constitutes and appoints the individuals named on Schedule A attached hereto and as may be amended from time to time, or any of them signing singly, with full power of substitution and resubstitution, to act as the undersigned's true and lawful attorney-in-fact-to:</w:t>
      </w:r>
    </w:p>
    <w:p>
      <w:pPr>
        <w:spacing w:after="0" w:line="3" w:lineRule="exact"/>
        <w:rPr>
          <w:sz w:val="20"/>
          <w:szCs w:val="20"/>
          <w:color w:val="auto"/>
        </w:rPr>
      </w:pPr>
    </w:p>
    <w:p>
      <w:pPr>
        <w:ind w:left="940" w:right="379" w:hanging="940"/>
        <w:spacing w:after="0" w:line="264" w:lineRule="auto"/>
        <w:tabs>
          <w:tab w:leader="none" w:pos="9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Schedules 13D and 13G in accordance with Section 13 of the Securities Exchange Act of 1934, as amended (the "Exchange Act"), and the rules thereunder, and Forms 3,4, and 5 in accordance with Section 16 of the Exchange Act and the rules thereunder, and Notices of Proposed Sale of Securities Pursuant to Rule 144 ("Form 144"), in accordance with the requirements of Rule 144 under the Securities Exchange Act of 1933, as amended (the "Securities Act");and</w:t>
      </w:r>
    </w:p>
    <w:p>
      <w:pPr>
        <w:spacing w:after="0" w:line="5" w:lineRule="exact"/>
        <w:rPr>
          <w:rFonts w:ascii="Courier New" w:cs="Courier New" w:eastAsia="Courier New" w:hAnsi="Courier New"/>
          <w:sz w:val="18"/>
          <w:szCs w:val="18"/>
          <w:color w:val="auto"/>
        </w:rPr>
      </w:pPr>
    </w:p>
    <w:p>
      <w:pPr>
        <w:ind w:left="940" w:right="139" w:hanging="940"/>
        <w:spacing w:after="0" w:line="264" w:lineRule="auto"/>
        <w:tabs>
          <w:tab w:leader="none" w:pos="9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Schedule 13D, Schedule 13G, Form 3, Form 4, Form 5, and Form 144, complete and execute any amendment or amendments thereto, and to timely file such Schedule 13D, Schedule 13G, Form 3, Form 4, Form 5, and Form 144, as applicable, and</w:t>
      </w:r>
    </w:p>
    <w:p>
      <w:pPr>
        <w:spacing w:after="0" w:line="4" w:lineRule="exact"/>
        <w:rPr>
          <w:sz w:val="20"/>
          <w:szCs w:val="20"/>
          <w:color w:val="auto"/>
        </w:rPr>
      </w:pPr>
    </w:p>
    <w:p>
      <w:pPr>
        <w:ind w:left="940" w:right="959"/>
        <w:spacing w:after="0" w:line="238" w:lineRule="auto"/>
        <w:rPr>
          <w:sz w:val="20"/>
          <w:szCs w:val="20"/>
          <w:color w:val="auto"/>
        </w:rPr>
      </w:pPr>
      <w:r>
        <w:rPr>
          <w:rFonts w:ascii="Courier New" w:cs="Courier New" w:eastAsia="Courier New" w:hAnsi="Courier New"/>
          <w:sz w:val="20"/>
          <w:szCs w:val="20"/>
          <w:color w:val="auto"/>
        </w:rPr>
        <w:t>any amendment thereto, with the United States Securities and Exchange Commission and any stock exchange or similar authority.</w:t>
      </w:r>
    </w:p>
    <w:p>
      <w:pPr>
        <w:spacing w:after="0" w:line="1" w:lineRule="exact"/>
        <w:rPr>
          <w:sz w:val="20"/>
          <w:szCs w:val="20"/>
          <w:color w:val="auto"/>
        </w:rPr>
      </w:pPr>
    </w:p>
    <w:p>
      <w:pPr>
        <w:ind w:right="839" w:firstLine="819"/>
        <w:spacing w:after="0" w:line="238" w:lineRule="auto"/>
        <w:rPr>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attorney-in-fact's substitute or substitutes, shall lawfully do or cause to be done by virtue of this Power of Attorney and the rights and powers herein granted.</w:t>
      </w:r>
    </w:p>
    <w:p>
      <w:pPr>
        <w:spacing w:after="0" w:line="4" w:lineRule="exact"/>
        <w:rPr>
          <w:sz w:val="20"/>
          <w:szCs w:val="20"/>
          <w:color w:val="auto"/>
        </w:rPr>
      </w:pPr>
    </w:p>
    <w:p>
      <w:pPr>
        <w:ind w:right="959"/>
        <w:spacing w:after="0" w:line="238" w:lineRule="auto"/>
        <w:rPr>
          <w:sz w:val="20"/>
          <w:szCs w:val="20"/>
          <w:color w:val="auto"/>
        </w:rPr>
      </w:pPr>
      <w:r>
        <w:rPr>
          <w:rFonts w:ascii="Courier New" w:cs="Courier New" w:eastAsia="Courier New" w:hAnsi="Courier New"/>
          <w:sz w:val="20"/>
          <w:szCs w:val="20"/>
          <w:color w:val="auto"/>
        </w:rPr>
        <w:t>The undersigned acknowledges that the foregoing attorneys-in-fact, in serving in such capacity at the request of the undersigned, are not assuming, nor is the Company assuming, any of the undersigned's responsibilities to comply with Section 13 and Section 16 of the Exchange Act or Rule 144 under the Securities Act.</w:t>
      </w:r>
    </w:p>
    <w:p>
      <w:pPr>
        <w:spacing w:after="0" w:line="1" w:lineRule="exact"/>
        <w:rPr>
          <w:sz w:val="20"/>
          <w:szCs w:val="20"/>
          <w:color w:val="auto"/>
        </w:rPr>
      </w:pPr>
    </w:p>
    <w:p>
      <w:pPr>
        <w:ind w:left="820"/>
        <w:spacing w:after="0"/>
        <w:rPr>
          <w:sz w:val="20"/>
          <w:szCs w:val="20"/>
          <w:color w:val="auto"/>
        </w:rPr>
      </w:pPr>
      <w:r>
        <w:rPr>
          <w:rFonts w:ascii="Courier New" w:cs="Courier New" w:eastAsia="Courier New" w:hAnsi="Courier New"/>
          <w:sz w:val="20"/>
          <w:szCs w:val="20"/>
          <w:color w:val="auto"/>
        </w:rPr>
        <w:t>This Power of Attorney shall remain in full force and effect until the</w:t>
      </w:r>
    </w:p>
    <w:p>
      <w:pPr>
        <w:spacing w:after="0" w:line="238" w:lineRule="auto"/>
        <w:rPr>
          <w:sz w:val="20"/>
          <w:szCs w:val="20"/>
          <w:color w:val="auto"/>
        </w:rPr>
      </w:pPr>
      <w:r>
        <w:rPr>
          <w:rFonts w:ascii="Courier New" w:cs="Courier New" w:eastAsia="Courier New" w:hAnsi="Courier New"/>
          <w:sz w:val="20"/>
          <w:szCs w:val="20"/>
          <w:color w:val="auto"/>
        </w:rPr>
        <w:t>undersigned is no longer required to file any Schedule 13D, Schedule 13G,</w:t>
      </w:r>
    </w:p>
    <w:p>
      <w:pPr>
        <w:spacing w:after="0" w:line="238" w:lineRule="auto"/>
        <w:rPr>
          <w:sz w:val="20"/>
          <w:szCs w:val="20"/>
          <w:color w:val="auto"/>
        </w:rPr>
      </w:pPr>
      <w:r>
        <w:rPr>
          <w:rFonts w:ascii="Courier New" w:cs="Courier New" w:eastAsia="Courier New" w:hAnsi="Courier New"/>
          <w:sz w:val="20"/>
          <w:szCs w:val="20"/>
          <w:color w:val="auto"/>
        </w:rPr>
        <w:t>Form 3,Form 4, Form 5, and Form 144 with respect to the undersigned's holdings</w:t>
      </w:r>
    </w:p>
    <w:p>
      <w:pPr>
        <w:spacing w:after="0"/>
        <w:rPr>
          <w:sz w:val="20"/>
          <w:szCs w:val="20"/>
          <w:color w:val="auto"/>
        </w:rPr>
      </w:pPr>
      <w:r>
        <w:rPr>
          <w:rFonts w:ascii="Courier New" w:cs="Courier New" w:eastAsia="Courier New" w:hAnsi="Courier New"/>
          <w:sz w:val="20"/>
          <w:szCs w:val="20"/>
          <w:color w:val="auto"/>
        </w:rPr>
        <w:t>of and transactions in securities issued by the Company, unless earlier revoked</w:t>
      </w:r>
    </w:p>
    <w:p>
      <w:pPr>
        <w:spacing w:after="0" w:line="238" w:lineRule="auto"/>
        <w:rPr>
          <w:sz w:val="20"/>
          <w:szCs w:val="20"/>
          <w:color w:val="auto"/>
        </w:rPr>
      </w:pPr>
      <w:r>
        <w:rPr>
          <w:rFonts w:ascii="Courier New" w:cs="Courier New" w:eastAsia="Courier New" w:hAnsi="Courier New"/>
          <w:sz w:val="20"/>
          <w:szCs w:val="20"/>
          <w:color w:val="auto"/>
        </w:rPr>
        <w:t>by the undersigned in a signed writing delivered to the foregoing</w:t>
      </w:r>
    </w:p>
    <w:p>
      <w:pPr>
        <w:spacing w:after="0"/>
        <w:rPr>
          <w:sz w:val="20"/>
          <w:szCs w:val="20"/>
          <w:color w:val="auto"/>
        </w:rPr>
      </w:pPr>
      <w:r>
        <w:rPr>
          <w:rFonts w:ascii="Courier New" w:cs="Courier New" w:eastAsia="Courier New" w:hAnsi="Courier New"/>
          <w:sz w:val="20"/>
          <w:szCs w:val="20"/>
          <w:color w:val="auto"/>
        </w:rPr>
        <w:t>attorneys-in-fact.</w:t>
      </w:r>
    </w:p>
    <w:p>
      <w:pPr>
        <w:spacing w:after="0" w:line="188" w:lineRule="exact"/>
        <w:rPr>
          <w:sz w:val="20"/>
          <w:szCs w:val="20"/>
          <w:color w:val="auto"/>
        </w:rPr>
      </w:pPr>
    </w:p>
    <w:p>
      <w:pPr>
        <w:ind w:right="1079" w:firstLine="819"/>
        <w:spacing w:after="0" w:line="251"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1st day of May, 2026. /s/Steven H. Nelson</w:t>
      </w:r>
    </w:p>
    <w:p>
      <w:pPr>
        <w:spacing w:after="0"/>
        <w:rPr>
          <w:sz w:val="20"/>
          <w:szCs w:val="20"/>
          <w:color w:val="auto"/>
        </w:rPr>
      </w:pPr>
      <w:r>
        <w:rPr>
          <w:rFonts w:ascii="Courier New" w:cs="Courier New" w:eastAsia="Courier New" w:hAnsi="Courier New"/>
          <w:sz w:val="20"/>
          <w:szCs w:val="20"/>
          <w:color w:val="auto"/>
        </w:rPr>
        <w:t>Name: Steven H. Nelson</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Schedule A</w:t>
      </w:r>
    </w:p>
    <w:p>
      <w:pPr>
        <w:spacing w:after="0" w:line="224" w:lineRule="exact"/>
        <w:rPr>
          <w:sz w:val="20"/>
          <w:szCs w:val="20"/>
          <w:color w:val="auto"/>
        </w:rPr>
      </w:pPr>
    </w:p>
    <w:p>
      <w:pPr>
        <w:ind w:right="1439"/>
        <w:spacing w:after="0" w:line="348" w:lineRule="auto"/>
        <w:rPr>
          <w:sz w:val="20"/>
          <w:szCs w:val="20"/>
          <w:color w:val="auto"/>
        </w:rPr>
      </w:pPr>
      <w:r>
        <w:rPr>
          <w:rFonts w:ascii="Courier New" w:cs="Courier New" w:eastAsia="Courier New" w:hAnsi="Courier New"/>
          <w:sz w:val="20"/>
          <w:szCs w:val="20"/>
          <w:color w:val="auto"/>
        </w:rPr>
        <w:t>INDIVDUALS APPOINTED AS ATTORNEY-IN-FACT, WITH FULL POWER OF SUBSTITUTION AND RESUBSTITUTION</w:t>
      </w:r>
    </w:p>
    <w:p>
      <w:pPr>
        <w:spacing w:after="0" w:line="18" w:lineRule="exact"/>
        <w:rPr>
          <w:sz w:val="20"/>
          <w:szCs w:val="20"/>
          <w:color w:val="auto"/>
        </w:rPr>
      </w:pPr>
    </w:p>
    <w:p>
      <w:pPr>
        <w:ind w:left="360" w:hanging="360"/>
        <w:spacing w:after="0"/>
        <w:tabs>
          <w:tab w:leader="none" w:pos="36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Benjamin Landry</w:t>
      </w:r>
    </w:p>
    <w:p>
      <w:pPr>
        <w:spacing w:after="0" w:line="34" w:lineRule="exact"/>
        <w:rPr>
          <w:rFonts w:ascii="Courier New" w:cs="Courier New" w:eastAsia="Courier New" w:hAnsi="Courier New"/>
          <w:sz w:val="20"/>
          <w:szCs w:val="20"/>
          <w:color w:val="auto"/>
        </w:rPr>
      </w:pPr>
    </w:p>
    <w:p>
      <w:pPr>
        <w:ind w:left="360" w:hanging="360"/>
        <w:spacing w:after="0"/>
        <w:tabs>
          <w:tab w:leader="none" w:pos="36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Jason Alger</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320490" TargetMode="External"/><Relationship Id="rId11" Type="http://schemas.openxmlformats.org/officeDocument/2006/relationships/hyperlink" Target="http://www.sec.gov/cgi-bin/browse-edgar?action=getcompany&amp;CIK=00016364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2026-05-04T16:25:00Z</dcterms:created>
  <dcterms:modified xsi:type="dcterms:W3CDTF">2026-05-04T16:25:00Z</dcterms:modified>
</cp:coreProperties>
</file>