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9" w:lineRule="exact"/>
        <w:rPr>
          <w:sz w:val="24"/>
          <w:szCs w:val="24"/>
          <w:color w:val="auto"/>
        </w:rPr>
      </w:pPr>
    </w:p>
    <w:p>
      <w:pPr>
        <w:jc w:val="center"/>
        <w:ind w:right="-287"/>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jc w:val="center"/>
        <w:ind w:right="-287"/>
        <w:spacing w:after="0"/>
        <w:rPr>
          <w:sz w:val="20"/>
          <w:szCs w:val="20"/>
          <w:color w:val="auto"/>
        </w:rPr>
      </w:pPr>
      <w:r>
        <w:rPr>
          <w:rFonts w:ascii="Arial" w:cs="Arial" w:eastAsia="Arial" w:hAnsi="Arial"/>
          <w:sz w:val="11"/>
          <w:szCs w:val="11"/>
          <w:b w:val="1"/>
          <w:bCs w:val="1"/>
          <w:color w:val="auto"/>
        </w:rPr>
        <w:t>Washington, D.C. 20549</w:t>
      </w:r>
    </w:p>
    <w:p>
      <w:pPr>
        <w:ind w:left="3948"/>
        <w:spacing w:after="0"/>
        <w:rPr>
          <w:sz w:val="20"/>
          <w:szCs w:val="20"/>
          <w:color w:val="auto"/>
        </w:rPr>
      </w:pPr>
      <w:r>
        <w:rPr>
          <w:rFonts w:ascii="Arial" w:cs="Arial" w:eastAsia="Arial" w:hAnsi="Arial"/>
          <w:sz w:val="11"/>
          <w:szCs w:val="11"/>
          <w:b w:val="1"/>
          <w:bCs w:val="1"/>
          <w:color w:val="auto"/>
        </w:rPr>
        <w:t>_________________________________________________________</w:t>
      </w:r>
    </w:p>
    <w:p>
      <w:pPr>
        <w:spacing w:after="0" w:line="66" w:lineRule="exact"/>
        <w:rPr>
          <w:sz w:val="24"/>
          <w:szCs w:val="24"/>
          <w:color w:val="auto"/>
        </w:rPr>
      </w:pPr>
    </w:p>
    <w:p>
      <w:pPr>
        <w:jc w:val="center"/>
        <w:ind w:right="-287"/>
        <w:spacing w:after="0"/>
        <w:rPr>
          <w:sz w:val="20"/>
          <w:szCs w:val="20"/>
          <w:color w:val="auto"/>
        </w:rPr>
      </w:pPr>
      <w:r>
        <w:rPr>
          <w:rFonts w:ascii="Arial" w:cs="Arial" w:eastAsia="Arial" w:hAnsi="Arial"/>
          <w:sz w:val="19"/>
          <w:szCs w:val="19"/>
          <w:b w:val="1"/>
          <w:bCs w:val="1"/>
          <w:color w:val="auto"/>
        </w:rPr>
        <w:t>FORM 8-K</w:t>
      </w:r>
    </w:p>
    <w:p>
      <w:pPr>
        <w:spacing w:after="0" w:line="30" w:lineRule="exact"/>
        <w:rPr>
          <w:sz w:val="24"/>
          <w:szCs w:val="24"/>
          <w:color w:val="auto"/>
        </w:rPr>
      </w:pPr>
    </w:p>
    <w:p>
      <w:pPr>
        <w:ind w:left="3908"/>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79" w:lineRule="exact"/>
        <w:rPr>
          <w:sz w:val="24"/>
          <w:szCs w:val="24"/>
          <w:color w:val="auto"/>
        </w:rPr>
      </w:pPr>
    </w:p>
    <w:p>
      <w:pPr>
        <w:jc w:val="center"/>
        <w:ind w:right="-287"/>
        <w:spacing w:after="0"/>
        <w:rPr>
          <w:sz w:val="20"/>
          <w:szCs w:val="20"/>
          <w:color w:val="auto"/>
        </w:rPr>
      </w:pPr>
      <w:r>
        <w:rPr>
          <w:rFonts w:ascii="Arial" w:cs="Arial" w:eastAsia="Arial" w:hAnsi="Arial"/>
          <w:sz w:val="14"/>
          <w:szCs w:val="14"/>
          <w:b w:val="1"/>
          <w:bCs w:val="1"/>
          <w:color w:val="auto"/>
        </w:rPr>
        <w:t>CURRENT REPORT</w:t>
      </w:r>
    </w:p>
    <w:p>
      <w:pPr>
        <w:spacing w:after="0" w:line="42" w:lineRule="exact"/>
        <w:rPr>
          <w:sz w:val="24"/>
          <w:szCs w:val="24"/>
          <w:color w:val="auto"/>
        </w:rPr>
      </w:pPr>
    </w:p>
    <w:p>
      <w:pPr>
        <w:jc w:val="center"/>
        <w:ind w:right="-287"/>
        <w:spacing w:after="0"/>
        <w:rPr>
          <w:sz w:val="20"/>
          <w:szCs w:val="20"/>
          <w:color w:val="auto"/>
        </w:rPr>
      </w:pPr>
      <w:r>
        <w:rPr>
          <w:rFonts w:ascii="Arial" w:cs="Arial" w:eastAsia="Arial" w:hAnsi="Arial"/>
          <w:sz w:val="12"/>
          <w:szCs w:val="12"/>
          <w:b w:val="1"/>
          <w:bCs w:val="1"/>
          <w:color w:val="auto"/>
        </w:rPr>
        <w:t>Pursuant to Section 13 or 15(d)</w:t>
      </w:r>
    </w:p>
    <w:p>
      <w:pPr>
        <w:spacing w:after="0" w:line="19" w:lineRule="exact"/>
        <w:rPr>
          <w:sz w:val="24"/>
          <w:szCs w:val="24"/>
          <w:color w:val="auto"/>
        </w:rPr>
      </w:pPr>
    </w:p>
    <w:p>
      <w:pPr>
        <w:jc w:val="center"/>
        <w:ind w:right="-28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65" w:lineRule="exact"/>
        <w:rPr>
          <w:sz w:val="24"/>
          <w:szCs w:val="24"/>
          <w:color w:val="auto"/>
        </w:rPr>
      </w:pPr>
    </w:p>
    <w:p>
      <w:pPr>
        <w:jc w:val="center"/>
        <w:ind w:right="-287"/>
        <w:spacing w:after="0"/>
        <w:rPr>
          <w:sz w:val="20"/>
          <w:szCs w:val="20"/>
          <w:color w:val="auto"/>
        </w:rPr>
      </w:pPr>
      <w:r>
        <w:rPr>
          <w:rFonts w:ascii="Arial" w:cs="Arial" w:eastAsia="Arial" w:hAnsi="Arial"/>
          <w:sz w:val="12"/>
          <w:szCs w:val="12"/>
          <w:b w:val="1"/>
          <w:bCs w:val="1"/>
          <w:color w:val="auto"/>
        </w:rPr>
        <w:t>Date of Report (Date of earliest event reported): June 23, 2021</w:t>
      </w:r>
    </w:p>
    <w:p>
      <w:pPr>
        <w:spacing w:after="0" w:line="19" w:lineRule="exact"/>
        <w:rPr>
          <w:sz w:val="24"/>
          <w:szCs w:val="24"/>
          <w:color w:val="auto"/>
        </w:rPr>
      </w:pPr>
    </w:p>
    <w:p>
      <w:pPr>
        <w:ind w:left="3908"/>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139" w:lineRule="exact"/>
        <w:rPr>
          <w:sz w:val="24"/>
          <w:szCs w:val="24"/>
          <w:color w:val="auto"/>
        </w:rPr>
      </w:pPr>
    </w:p>
    <w:p>
      <w:pPr>
        <w:jc w:val="center"/>
        <w:ind w:right="-287"/>
        <w:spacing w:after="0"/>
        <w:rPr>
          <w:sz w:val="20"/>
          <w:szCs w:val="20"/>
          <w:color w:val="auto"/>
        </w:rPr>
      </w:pPr>
      <w:r>
        <w:rPr>
          <w:rFonts w:ascii="Arial" w:cs="Arial" w:eastAsia="Arial" w:hAnsi="Arial"/>
          <w:sz w:val="19"/>
          <w:szCs w:val="19"/>
          <w:b w:val="1"/>
          <w:bCs w:val="1"/>
          <w:color w:val="auto"/>
        </w:rPr>
        <w:t>HEALTH CATALYST, INC.</w:t>
      </w:r>
    </w:p>
    <w:p>
      <w:pPr>
        <w:spacing w:after="0" w:line="31" w:lineRule="exact"/>
        <w:rPr>
          <w:sz w:val="24"/>
          <w:szCs w:val="24"/>
          <w:color w:val="auto"/>
        </w:rPr>
      </w:pPr>
    </w:p>
    <w:p>
      <w:pPr>
        <w:jc w:val="center"/>
        <w:ind w:right="-287"/>
        <w:spacing w:after="0"/>
        <w:rPr>
          <w:sz w:val="20"/>
          <w:szCs w:val="20"/>
          <w:color w:val="auto"/>
        </w:rPr>
      </w:pPr>
      <w:r>
        <w:rPr>
          <w:rFonts w:ascii="Arial" w:cs="Arial" w:eastAsia="Arial" w:hAnsi="Arial"/>
          <w:sz w:val="11"/>
          <w:szCs w:val="11"/>
          <w:color w:val="auto"/>
        </w:rPr>
        <w:t>(Exact name of registrant as specified in its charter)</w:t>
      </w:r>
    </w:p>
    <w:p>
      <w:pPr>
        <w:ind w:left="3928"/>
        <w:spacing w:after="0"/>
        <w:rPr>
          <w:sz w:val="20"/>
          <w:szCs w:val="20"/>
          <w:color w:val="auto"/>
        </w:rPr>
      </w:pPr>
      <w:r>
        <w:rPr>
          <w:rFonts w:ascii="Arial" w:cs="Arial" w:eastAsia="Arial" w:hAnsi="Arial"/>
          <w:sz w:val="10"/>
          <w:szCs w:val="10"/>
          <w:b w:val="1"/>
          <w:bCs w:val="1"/>
          <w:color w:val="auto"/>
        </w:rPr>
        <w:t>________________________________________________________________</w:t>
      </w:r>
    </w:p>
    <w:p>
      <w:pPr>
        <w:sectPr>
          <w:pgSz w:w="11900" w:h="16838" w:orient="portrait"/>
          <w:cols w:equalWidth="0" w:num="1">
            <w:col w:w="11028"/>
          </w:cols>
          <w:pgMar w:left="292" w:top="837" w:right="579" w:bottom="1440" w:gutter="0" w:footer="0" w:header="0"/>
        </w:sectPr>
      </w:pPr>
    </w:p>
    <w:p>
      <w:pPr>
        <w:spacing w:after="0" w:line="26" w:lineRule="exact"/>
        <w:rPr>
          <w:sz w:val="24"/>
          <w:szCs w:val="24"/>
          <w:color w:val="auto"/>
        </w:rPr>
      </w:pPr>
    </w:p>
    <w:p>
      <w:pPr>
        <w:ind w:left="166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560"/>
        <w:spacing w:after="0"/>
        <w:rPr>
          <w:sz w:val="20"/>
          <w:szCs w:val="20"/>
          <w:color w:val="auto"/>
        </w:rPr>
      </w:pPr>
      <w:r>
        <w:rPr>
          <w:rFonts w:ascii="Arial" w:cs="Arial" w:eastAsia="Arial" w:hAnsi="Arial"/>
          <w:sz w:val="9"/>
          <w:szCs w:val="9"/>
          <w:b w:val="1"/>
          <w:bCs w:val="1"/>
          <w:color w:val="auto"/>
        </w:rPr>
        <w:t>001-38993</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45-3337483</w:t>
      </w:r>
    </w:p>
    <w:p>
      <w:pPr>
        <w:spacing w:after="0" w:line="43" w:lineRule="exact"/>
        <w:rPr>
          <w:sz w:val="24"/>
          <w:szCs w:val="24"/>
          <w:color w:val="auto"/>
        </w:rPr>
      </w:pPr>
    </w:p>
    <w:p>
      <w:pPr>
        <w:sectPr>
          <w:pgSz w:w="11900" w:h="16838" w:orient="portrait"/>
          <w:cols w:equalWidth="0" w:num="3">
            <w:col w:w="4708" w:space="720"/>
            <w:col w:w="3020" w:space="720"/>
            <w:col w:w="1860"/>
          </w:cols>
          <w:pgMar w:left="292" w:top="837" w:right="579" w:bottom="1440" w:gutter="0" w:footer="0" w:header="0"/>
          <w:type w:val="continuous"/>
        </w:sectPr>
      </w:pPr>
    </w:p>
    <w:p>
      <w:pPr>
        <w:spacing w:after="0" w:line="1" w:lineRule="exact"/>
        <w:rPr>
          <w:sz w:val="24"/>
          <w:szCs w:val="24"/>
          <w:color w:val="auto"/>
        </w:rPr>
      </w:pPr>
    </w:p>
    <w:p>
      <w:pPr>
        <w:jc w:val="center"/>
        <w:ind w:right="572"/>
        <w:spacing w:after="0"/>
        <w:rPr>
          <w:sz w:val="20"/>
          <w:szCs w:val="20"/>
          <w:color w:val="auto"/>
        </w:rPr>
      </w:pPr>
      <w:r>
        <w:rPr>
          <w:rFonts w:ascii="Arial" w:cs="Arial" w:eastAsia="Arial" w:hAnsi="Arial"/>
          <w:sz w:val="9"/>
          <w:szCs w:val="9"/>
          <w:color w:val="auto"/>
        </w:rPr>
        <w:t>(State or other jurisdiction of</w:t>
      </w:r>
    </w:p>
    <w:p>
      <w:pPr>
        <w:spacing w:after="0" w:line="13" w:lineRule="exact"/>
        <w:rPr>
          <w:sz w:val="24"/>
          <w:szCs w:val="24"/>
          <w:color w:val="auto"/>
        </w:rPr>
      </w:pPr>
    </w:p>
    <w:p>
      <w:pPr>
        <w:jc w:val="center"/>
        <w:ind w:right="572"/>
        <w:spacing w:after="0"/>
        <w:rPr>
          <w:sz w:val="20"/>
          <w:szCs w:val="20"/>
          <w:color w:val="auto"/>
        </w:rPr>
      </w:pPr>
      <w:r>
        <w:rPr>
          <w:rFonts w:ascii="Arial" w:cs="Arial" w:eastAsia="Arial" w:hAnsi="Arial"/>
          <w:sz w:val="11"/>
          <w:szCs w:val="11"/>
          <w:color w:val="auto"/>
        </w:rPr>
        <w:t>incorporation)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1"/>
          <w:szCs w:val="11"/>
          <w:color w:val="auto"/>
        </w:rPr>
        <w:t>(IRS Employer</w:t>
      </w:r>
    </w:p>
    <w:p>
      <w:pPr>
        <w:jc w:val="center"/>
        <w:ind w:right="1200"/>
        <w:spacing w:after="0"/>
        <w:rPr>
          <w:sz w:val="20"/>
          <w:szCs w:val="20"/>
          <w:color w:val="auto"/>
        </w:rPr>
      </w:pPr>
      <w:r>
        <w:rPr>
          <w:rFonts w:ascii="Arial" w:cs="Arial" w:eastAsia="Arial" w:hAnsi="Arial"/>
          <w:sz w:val="10"/>
          <w:szCs w:val="10"/>
          <w:color w:val="auto"/>
        </w:rPr>
        <w:t>Identification No.)</w:t>
      </w:r>
    </w:p>
    <w:p>
      <w:pPr>
        <w:spacing w:after="0" w:line="134" w:lineRule="exact"/>
        <w:rPr>
          <w:sz w:val="24"/>
          <w:szCs w:val="24"/>
          <w:color w:val="auto"/>
        </w:rPr>
      </w:pPr>
    </w:p>
    <w:p>
      <w:pPr>
        <w:sectPr>
          <w:pgSz w:w="11900" w:h="16838" w:orient="portrait"/>
          <w:cols w:equalWidth="0" w:num="3">
            <w:col w:w="4348" w:space="720"/>
            <w:col w:w="3240" w:space="720"/>
            <w:col w:w="2000"/>
          </w:cols>
          <w:pgMar w:left="292" w:top="837" w:right="579" w:bottom="1440" w:gutter="0" w:footer="0" w:header="0"/>
          <w:type w:val="continuous"/>
        </w:sectPr>
      </w:pPr>
    </w:p>
    <w:p>
      <w:pPr>
        <w:jc w:val="center"/>
        <w:ind w:right="-287"/>
        <w:spacing w:after="0"/>
        <w:rPr>
          <w:sz w:val="20"/>
          <w:szCs w:val="20"/>
          <w:color w:val="auto"/>
        </w:rPr>
      </w:pPr>
      <w:r>
        <w:rPr>
          <w:rFonts w:ascii="Arial" w:cs="Arial" w:eastAsia="Arial" w:hAnsi="Arial"/>
          <w:sz w:val="11"/>
          <w:szCs w:val="11"/>
          <w:b w:val="1"/>
          <w:bCs w:val="1"/>
          <w:color w:val="auto"/>
        </w:rPr>
        <w:t>10897 South River Front Parkway #300</w:t>
      </w:r>
    </w:p>
    <w:p>
      <w:pPr>
        <w:spacing w:after="0" w:line="11" w:lineRule="exact"/>
        <w:rPr>
          <w:sz w:val="24"/>
          <w:szCs w:val="24"/>
          <w:color w:val="auto"/>
        </w:rPr>
      </w:pPr>
    </w:p>
    <w:p>
      <w:pPr>
        <w:jc w:val="center"/>
        <w:ind w:right="-287"/>
        <w:spacing w:after="0"/>
        <w:rPr>
          <w:sz w:val="20"/>
          <w:szCs w:val="20"/>
          <w:color w:val="auto"/>
        </w:rPr>
      </w:pPr>
      <w:r>
        <w:rPr>
          <w:rFonts w:ascii="Arial" w:cs="Arial" w:eastAsia="Arial" w:hAnsi="Arial"/>
          <w:sz w:val="11"/>
          <w:szCs w:val="11"/>
          <w:b w:val="1"/>
          <w:bCs w:val="1"/>
          <w:color w:val="auto"/>
        </w:rPr>
        <w:t>South Jordan, UT 84095</w:t>
      </w:r>
    </w:p>
    <w:p>
      <w:pPr>
        <w:jc w:val="center"/>
        <w:ind w:right="-287"/>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150" w:lineRule="exact"/>
        <w:rPr>
          <w:sz w:val="24"/>
          <w:szCs w:val="24"/>
          <w:color w:val="auto"/>
        </w:rPr>
      </w:pPr>
    </w:p>
    <w:p>
      <w:pPr>
        <w:jc w:val="center"/>
        <w:ind w:right="-287"/>
        <w:spacing w:after="0"/>
        <w:rPr>
          <w:sz w:val="20"/>
          <w:szCs w:val="20"/>
          <w:color w:val="auto"/>
        </w:rPr>
      </w:pPr>
      <w:r>
        <w:rPr>
          <w:rFonts w:ascii="Arial" w:cs="Arial" w:eastAsia="Arial" w:hAnsi="Arial"/>
          <w:sz w:val="11"/>
          <w:szCs w:val="11"/>
          <w:b w:val="1"/>
          <w:bCs w:val="1"/>
          <w:color w:val="auto"/>
        </w:rPr>
        <w:t>(801) 708-6800</w:t>
      </w:r>
    </w:p>
    <w:p>
      <w:pPr>
        <w:spacing w:after="0" w:line="12" w:lineRule="exact"/>
        <w:rPr>
          <w:sz w:val="24"/>
          <w:szCs w:val="24"/>
          <w:color w:val="auto"/>
        </w:rPr>
      </w:pPr>
    </w:p>
    <w:p>
      <w:pPr>
        <w:jc w:val="center"/>
        <w:ind w:right="-287"/>
        <w:spacing w:after="0"/>
        <w:rPr>
          <w:sz w:val="20"/>
          <w:szCs w:val="20"/>
          <w:color w:val="auto"/>
        </w:rPr>
      </w:pPr>
      <w:r>
        <w:rPr>
          <w:rFonts w:ascii="Arial" w:cs="Arial" w:eastAsia="Arial" w:hAnsi="Arial"/>
          <w:sz w:val="11"/>
          <w:szCs w:val="11"/>
          <w:color w:val="auto"/>
        </w:rPr>
        <w:t>(Registrant’s telephone number, including area code)</w:t>
      </w:r>
    </w:p>
    <w:p>
      <w:pPr>
        <w:spacing w:after="0" w:line="150" w:lineRule="exact"/>
        <w:rPr>
          <w:sz w:val="24"/>
          <w:szCs w:val="24"/>
          <w:color w:val="auto"/>
        </w:rPr>
      </w:pPr>
    </w:p>
    <w:p>
      <w:pPr>
        <w:ind w:left="5308"/>
        <w:spacing w:after="0"/>
        <w:rPr>
          <w:sz w:val="20"/>
          <w:szCs w:val="20"/>
          <w:color w:val="auto"/>
        </w:rPr>
      </w:pPr>
      <w:r>
        <w:rPr>
          <w:rFonts w:ascii="Arial" w:cs="Arial" w:eastAsia="Arial" w:hAnsi="Arial"/>
          <w:sz w:val="11"/>
          <w:szCs w:val="11"/>
          <w:b w:val="1"/>
          <w:bCs w:val="1"/>
          <w:color w:val="auto"/>
        </w:rPr>
        <w:t>Not Applicable</w:t>
      </w:r>
    </w:p>
    <w:p>
      <w:pPr>
        <w:spacing w:after="0" w:line="12" w:lineRule="exact"/>
        <w:rPr>
          <w:sz w:val="24"/>
          <w:szCs w:val="24"/>
          <w:color w:val="auto"/>
        </w:rPr>
      </w:pPr>
    </w:p>
    <w:p>
      <w:pPr>
        <w:ind w:left="4328"/>
        <w:spacing w:after="0"/>
        <w:rPr>
          <w:sz w:val="20"/>
          <w:szCs w:val="20"/>
          <w:color w:val="auto"/>
        </w:rPr>
      </w:pPr>
      <w:r>
        <w:rPr>
          <w:rFonts w:ascii="Arial" w:cs="Arial" w:eastAsia="Arial" w:hAnsi="Arial"/>
          <w:sz w:val="10"/>
          <w:szCs w:val="10"/>
          <w:color w:val="auto"/>
        </w:rPr>
        <w:t>(Former name or former address, if changed since last report)</w:t>
      </w:r>
    </w:p>
    <w:p>
      <w:pPr>
        <w:spacing w:after="0" w:line="11" w:lineRule="exact"/>
        <w:rPr>
          <w:sz w:val="24"/>
          <w:szCs w:val="24"/>
          <w:color w:val="auto"/>
        </w:rPr>
      </w:pPr>
    </w:p>
    <w:p>
      <w:pPr>
        <w:ind w:left="3988"/>
        <w:spacing w:after="0"/>
        <w:rPr>
          <w:sz w:val="20"/>
          <w:szCs w:val="20"/>
          <w:color w:val="auto"/>
        </w:rPr>
      </w:pPr>
      <w:r>
        <w:rPr>
          <w:rFonts w:ascii="Arial" w:cs="Arial" w:eastAsia="Arial" w:hAnsi="Arial"/>
          <w:sz w:val="9"/>
          <w:szCs w:val="9"/>
          <w:b w:val="1"/>
          <w:bCs w:val="1"/>
          <w:color w:val="auto"/>
        </w:rPr>
        <w:t>______________________________________________________________</w:t>
      </w:r>
    </w:p>
    <w:p>
      <w:pPr>
        <w:sectPr>
          <w:pgSz w:w="11900" w:h="16838" w:orient="portrait"/>
          <w:cols w:equalWidth="0" w:num="1">
            <w:col w:w="11028"/>
          </w:cols>
          <w:pgMar w:left="292" w:top="837" w:right="579" w:bottom="1440" w:gutter="0" w:footer="0" w:header="0"/>
          <w:type w:val="continuous"/>
        </w:sectPr>
      </w:pPr>
    </w:p>
    <w:p>
      <w:pPr>
        <w:spacing w:after="0" w:line="87"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35" w:lineRule="exact"/>
        <w:rPr>
          <w:rFonts w:ascii="MS PGothic" w:cs="MS PGothic" w:eastAsia="MS PGothic" w:hAnsi="MS PGothic"/>
          <w:sz w:val="11"/>
          <w:szCs w:val="11"/>
          <w:color w:val="auto"/>
        </w:rPr>
      </w:pPr>
    </w:p>
    <w:p>
      <w:pPr>
        <w:ind w:left="228" w:hanging="228"/>
        <w:spacing w:after="0"/>
        <w:tabs>
          <w:tab w:leader="none" w:pos="2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228" w:hanging="228"/>
        <w:spacing w:after="0"/>
        <w:tabs>
          <w:tab w:leader="none" w:pos="2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228" w:hanging="228"/>
        <w:spacing w:after="0"/>
        <w:tabs>
          <w:tab w:leader="none" w:pos="2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31" w:lineRule="exact"/>
        <w:rPr>
          <w:rFonts w:ascii="MS PGothic" w:cs="MS PGothic" w:eastAsia="MS PGothic" w:hAnsi="MS PGothic"/>
          <w:sz w:val="11"/>
          <w:szCs w:val="11"/>
          <w:color w:val="auto"/>
        </w:rPr>
      </w:pPr>
    </w:p>
    <w:p>
      <w:pPr>
        <w:ind w:left="3988"/>
        <w:spacing w:after="0"/>
        <w:rPr>
          <w:rFonts w:ascii="MS PGothic" w:cs="MS PGothic" w:eastAsia="MS PGothic" w:hAnsi="MS PGothic"/>
          <w:sz w:val="11"/>
          <w:szCs w:val="11"/>
          <w:color w:val="auto"/>
        </w:rPr>
      </w:pPr>
      <w:r>
        <w:rPr>
          <w:rFonts w:ascii="Arial" w:cs="Arial" w:eastAsia="Arial" w:hAnsi="Arial"/>
          <w:sz w:val="11"/>
          <w:szCs w:val="11"/>
          <w:b w:val="1"/>
          <w:bCs w:val="1"/>
          <w:color w:val="auto"/>
        </w:rPr>
        <w:t>______________________________________________________________</w:t>
      </w:r>
    </w:p>
    <w:p>
      <w:pPr>
        <w:spacing w:after="0" w:line="40" w:lineRule="exact"/>
        <w:rPr>
          <w:sz w:val="24"/>
          <w:szCs w:val="24"/>
          <w:color w:val="auto"/>
        </w:rPr>
      </w:pPr>
    </w:p>
    <w:tbl>
      <w:tblPr>
        <w:tblLayout w:type="fixed"/>
        <w:tblInd w:w="328" w:type="dxa"/>
        <w:tblCellMar>
          <w:top w:w="0" w:type="dxa"/>
          <w:left w:w="0" w:type="dxa"/>
          <w:bottom w:w="0" w:type="dxa"/>
          <w:right w:w="0" w:type="dxa"/>
        </w:tblCellMar>
      </w:tblPr>
      <w:tr>
        <w:trPr>
          <w:trHeight w:val="136"/>
        </w:trPr>
        <w:tc>
          <w:tcPr>
            <w:tcW w:w="3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3"/>
          </w:tcPr>
          <w:p>
            <w:pPr>
              <w:jc w:val="center"/>
              <w:ind w:right="800"/>
              <w:spacing w:after="0"/>
              <w:rPr>
                <w:sz w:val="20"/>
                <w:szCs w:val="20"/>
                <w:color w:val="auto"/>
              </w:rPr>
            </w:pPr>
            <w:r>
              <w:rPr>
                <w:rFonts w:ascii="Arial" w:cs="Arial" w:eastAsia="Arial" w:hAnsi="Arial"/>
                <w:sz w:val="11"/>
                <w:szCs w:val="11"/>
                <w:color w:val="auto"/>
                <w:w w:val="88"/>
              </w:rPr>
              <w:t>Securities registered pursuant to Section 12(b) of the Act:</w:t>
            </w:r>
          </w:p>
        </w:tc>
        <w:tc>
          <w:tcPr>
            <w:tcW w:w="3200" w:type="dxa"/>
            <w:vAlign w:val="bottom"/>
          </w:tcPr>
          <w:p>
            <w:pPr>
              <w:spacing w:after="0"/>
              <w:rPr>
                <w:sz w:val="11"/>
                <w:szCs w:val="11"/>
                <w:color w:val="auto"/>
              </w:rPr>
            </w:pPr>
          </w:p>
        </w:tc>
      </w:tr>
      <w:tr>
        <w:trPr>
          <w:trHeight w:val="155"/>
        </w:trPr>
        <w:tc>
          <w:tcPr>
            <w:tcW w:w="3300" w:type="dxa"/>
            <w:vAlign w:val="bottom"/>
          </w:tcPr>
          <w:p>
            <w:pPr>
              <w:jc w:val="center"/>
              <w:ind w:left="546"/>
              <w:spacing w:after="0"/>
              <w:rPr>
                <w:sz w:val="20"/>
                <w:szCs w:val="20"/>
                <w:color w:val="auto"/>
              </w:rPr>
            </w:pPr>
            <w:r>
              <w:rPr>
                <w:rFonts w:ascii="Arial" w:cs="Arial" w:eastAsia="Arial" w:hAnsi="Arial"/>
                <w:sz w:val="11"/>
                <w:szCs w:val="11"/>
                <w:color w:val="auto"/>
                <w:w w:val="88"/>
              </w:rPr>
              <w:t>Title of each class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3"/>
          </w:tcPr>
          <w:p>
            <w:pPr>
              <w:jc w:val="center"/>
              <w:ind w:right="640"/>
              <w:spacing w:after="0"/>
              <w:rPr>
                <w:sz w:val="20"/>
                <w:szCs w:val="20"/>
                <w:color w:val="auto"/>
              </w:rPr>
            </w:pPr>
            <w:r>
              <w:rPr>
                <w:rFonts w:ascii="Arial" w:cs="Arial" w:eastAsia="Arial" w:hAnsi="Arial"/>
                <w:sz w:val="11"/>
                <w:szCs w:val="11"/>
                <w:color w:val="auto"/>
                <w:w w:val="88"/>
              </w:rPr>
              <w:t>Trading Symbol(s)</w:t>
            </w:r>
          </w:p>
        </w:tc>
        <w:tc>
          <w:tcPr>
            <w:tcW w:w="3200" w:type="dxa"/>
            <w:vAlign w:val="bottom"/>
          </w:tcPr>
          <w:p>
            <w:pPr>
              <w:jc w:val="center"/>
              <w:ind w:right="506"/>
              <w:spacing w:after="0"/>
              <w:rPr>
                <w:sz w:val="20"/>
                <w:szCs w:val="20"/>
                <w:color w:val="auto"/>
              </w:rPr>
            </w:pPr>
            <w:r>
              <w:rPr>
                <w:rFonts w:ascii="Arial" w:cs="Arial" w:eastAsia="Arial" w:hAnsi="Arial"/>
                <w:sz w:val="11"/>
                <w:szCs w:val="11"/>
                <w:color w:val="auto"/>
                <w:w w:val="88"/>
              </w:rPr>
              <w:t>Name of exchange on which registered</w:t>
            </w:r>
          </w:p>
        </w:tc>
      </w:tr>
      <w:tr>
        <w:trPr>
          <w:trHeight w:val="131"/>
        </w:trPr>
        <w:tc>
          <w:tcPr>
            <w:tcW w:w="3300" w:type="dxa"/>
            <w:vAlign w:val="bottom"/>
            <w:tcBorders>
              <w:top w:val="single" w:sz="8" w:color="auto"/>
            </w:tcBorders>
          </w:tcPr>
          <w:p>
            <w:pPr>
              <w:jc w:val="center"/>
              <w:ind w:left="546"/>
              <w:spacing w:after="0"/>
              <w:rPr>
                <w:sz w:val="20"/>
                <w:szCs w:val="20"/>
                <w:color w:val="auto"/>
              </w:rPr>
            </w:pPr>
            <w:r>
              <w:rPr>
                <w:rFonts w:ascii="Arial" w:cs="Arial" w:eastAsia="Arial" w:hAnsi="Arial"/>
                <w:sz w:val="11"/>
                <w:szCs w:val="11"/>
                <w:b w:val="1"/>
                <w:bCs w:val="1"/>
                <w:color w:val="auto"/>
                <w:w w:val="88"/>
              </w:rPr>
              <w:t>Common Stock, par value $0.001 per share</w:t>
            </w: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HCAT</w:t>
            </w: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0" w:type="dxa"/>
            <w:vAlign w:val="bottom"/>
            <w:tcBorders>
              <w:top w:val="single" w:sz="8" w:color="auto"/>
            </w:tcBorders>
          </w:tcPr>
          <w:p>
            <w:pPr>
              <w:jc w:val="center"/>
              <w:ind w:right="506"/>
              <w:spacing w:after="0"/>
              <w:rPr>
                <w:sz w:val="20"/>
                <w:szCs w:val="20"/>
                <w:color w:val="auto"/>
              </w:rPr>
            </w:pPr>
            <w:r>
              <w:rPr>
                <w:rFonts w:ascii="Arial" w:cs="Arial" w:eastAsia="Arial" w:hAnsi="Arial"/>
                <w:sz w:val="11"/>
                <w:szCs w:val="11"/>
                <w:b w:val="1"/>
                <w:bCs w:val="1"/>
                <w:color w:val="auto"/>
                <w:w w:val="89"/>
              </w:rPr>
              <w:t>The Nasdaq Global Select Market</w:t>
            </w:r>
          </w:p>
        </w:tc>
      </w:tr>
      <w:tr>
        <w:trPr>
          <w:trHeight w:val="247"/>
        </w:trPr>
        <w:tc>
          <w:tcPr>
            <w:tcW w:w="3300" w:type="dxa"/>
            <w:vAlign w:val="bottom"/>
          </w:tcPr>
          <w:p>
            <w:pPr>
              <w:spacing w:after="0"/>
              <w:rPr>
                <w:sz w:val="21"/>
                <w:szCs w:val="21"/>
                <w:color w:val="auto"/>
              </w:rPr>
            </w:pPr>
          </w:p>
        </w:tc>
        <w:tc>
          <w:tcPr>
            <w:tcW w:w="416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w w:val="98"/>
              </w:rPr>
              <w:t>________________________________________________________</w:t>
            </w:r>
          </w:p>
        </w:tc>
        <w:tc>
          <w:tcPr>
            <w:tcW w:w="3200" w:type="dxa"/>
            <w:vAlign w:val="bottom"/>
          </w:tcPr>
          <w:p>
            <w:pPr>
              <w:spacing w:after="0"/>
              <w:rPr>
                <w:sz w:val="21"/>
                <w:szCs w:val="21"/>
                <w:color w:val="auto"/>
              </w:rPr>
            </w:pPr>
          </w:p>
        </w:tc>
      </w:tr>
    </w:tbl>
    <w:p>
      <w:pPr>
        <w:spacing w:after="0" w:line="139" w:lineRule="exact"/>
        <w:rPr>
          <w:sz w:val="24"/>
          <w:szCs w:val="24"/>
          <w:color w:val="auto"/>
        </w:rPr>
      </w:pPr>
    </w:p>
    <w:p>
      <w:pPr>
        <w:ind w:left="8" w:right="560"/>
        <w:spacing w:after="0" w:line="142"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166" w:lineRule="exact"/>
        <w:rPr>
          <w:sz w:val="24"/>
          <w:szCs w:val="24"/>
          <w:color w:val="auto"/>
        </w:rPr>
      </w:pPr>
    </w:p>
    <w:p>
      <w:pPr>
        <w:ind w:left="8"/>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886460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379095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28"/>
          </w:cols>
          <w:pgMar w:left="292" w:top="837"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3.02. Unregistered Sales of Equity Securities.</w:t>
      </w:r>
    </w:p>
    <w:p>
      <w:pPr>
        <w:spacing w:after="0" w:line="154" w:lineRule="exact"/>
        <w:rPr>
          <w:sz w:val="20"/>
          <w:szCs w:val="20"/>
          <w:color w:val="auto"/>
        </w:rPr>
      </w:pPr>
    </w:p>
    <w:p>
      <w:pPr>
        <w:jc w:val="both"/>
        <w:ind w:firstLine="216"/>
        <w:spacing w:after="0" w:line="224" w:lineRule="auto"/>
        <w:rPr>
          <w:sz w:val="20"/>
          <w:szCs w:val="20"/>
          <w:color w:val="auto"/>
        </w:rPr>
      </w:pPr>
      <w:r>
        <w:rPr>
          <w:rFonts w:ascii="Arial" w:cs="Arial" w:eastAsia="Arial" w:hAnsi="Arial"/>
          <w:sz w:val="12"/>
          <w:szCs w:val="12"/>
          <w:color w:val="auto"/>
        </w:rPr>
        <w:t>On June 23, 2021, Health Catalyst, Inc. (“Health Catalyst”) entered into an acquisition agreement to acquire all of the equity interests in Twistle, Inc., a Delaware corporation (“Twistle”), for an aggregate purchase price of approximately $104.5 million, plus a potential earn-out described below of up to $65 million (the “Acquisition”). As a portion of the consideration for the Acquisition, Health Catalyst has agreed to issue 830,704 shares of Health Catalyst’s common stock, $0.001 par value ("Common Stock"), valued at the closing reference price of $56.60, which is equal to the average trading price of the Common Stock on the Nasdaq Global Select Market for the 10 consecutive trading day period ended June 21, 2021, to the equityholders of Twistle upon consummation of the transactions contemplated by the acquisition agreement, subject to certain closing conditions. Health Catalyst also agreed pursuant to an earn-out provision to issue additional shares of Common Stock if certain earn-out performance targets are met during an earn-out period ending on June 30, 2022. For purposes of the earn-out, the Common Stock will be valued based on the average trading price of the Common Stock on the Nasdaq Global Select Market for the 10 consecutive trading day period ending June 30, 2022. The actual number of shares that will be issued under the earn-out, if any, will depend on the extent of fulfillment of the earn-out performance targets at the time of calculation of the earn-out. The parties expect the Acquisition, which is subject to customary closing conditions, will close early in the third quarter of 2021.</w:t>
      </w:r>
    </w:p>
    <w:p>
      <w:pPr>
        <w:spacing w:after="0" w:line="140" w:lineRule="exact"/>
        <w:rPr>
          <w:sz w:val="20"/>
          <w:szCs w:val="20"/>
          <w:color w:val="auto"/>
        </w:rPr>
      </w:pPr>
    </w:p>
    <w:p>
      <w:pPr>
        <w:jc w:val="both"/>
        <w:ind w:firstLine="216"/>
        <w:spacing w:after="0" w:line="234" w:lineRule="auto"/>
        <w:rPr>
          <w:sz w:val="20"/>
          <w:szCs w:val="20"/>
          <w:color w:val="auto"/>
        </w:rPr>
      </w:pPr>
      <w:r>
        <w:rPr>
          <w:rFonts w:ascii="Arial" w:cs="Arial" w:eastAsia="Arial" w:hAnsi="Arial"/>
          <w:sz w:val="12"/>
          <w:szCs w:val="12"/>
          <w:color w:val="auto"/>
        </w:rPr>
        <w:t>The issuance of shares of Common Stock in connection with the Acquisition will be made in accordance with the terms and subject to the conditions set forth in the acquisition agreement and in reliance on the private offering exemption of Section 4(a)(2) of the Securities Act of 1933, as amended, and/or the private offering safe harbor provision of Rule 506 of Regulation D promulgated thereunder. The issuance and sale is not being conducted in connection with a public offering, and no public solicitation or advertisement will be made or relied upon in connection with the issuance of the shares.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154" w:lineRule="exact"/>
        <w:rPr>
          <w:sz w:val="20"/>
          <w:szCs w:val="20"/>
          <w:color w:val="auto"/>
        </w:rPr>
      </w:pPr>
    </w:p>
    <w:p>
      <w:pPr>
        <w:jc w:val="both"/>
        <w:ind w:firstLine="216"/>
        <w:spacing w:after="0" w:line="245" w:lineRule="auto"/>
        <w:rPr>
          <w:sz w:val="20"/>
          <w:szCs w:val="20"/>
          <w:color w:val="auto"/>
        </w:rPr>
      </w:pPr>
      <w:r>
        <w:rPr>
          <w:rFonts w:ascii="Arial" w:cs="Arial" w:eastAsia="Arial" w:hAnsi="Arial"/>
          <w:sz w:val="12"/>
          <w:szCs w:val="12"/>
          <w:color w:val="auto"/>
        </w:rPr>
        <w:t>On June 24, 2021, the Company issued a press release regarding the Acquisition. A copy of the press release announcing the Acquisition and the investor presentation related to the Acquisition are attached hereto as Exhibit 99.1 and Exhibit 99.2, respectively, and are each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ind w:left="380" w:hanging="172"/>
        <w:spacing w:after="0"/>
        <w:tabs>
          <w:tab w:leader="none" w:pos="380"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Exhibits.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2920" w:type="dxa"/>
            <w:vAlign w:val="bottom"/>
            <w:gridSpan w:val="3"/>
          </w:tcPr>
          <w:p>
            <w:pPr>
              <w:spacing w:after="0"/>
              <w:rPr>
                <w:sz w:val="20"/>
                <w:szCs w:val="20"/>
                <w:color w:val="auto"/>
              </w:rPr>
            </w:pPr>
            <w:r>
              <w:rPr>
                <w:rFonts w:ascii="Arial" w:cs="Arial" w:eastAsia="Arial" w:hAnsi="Arial"/>
                <w:sz w:val="12"/>
                <w:szCs w:val="12"/>
                <w:b w:val="1"/>
                <w:bCs w:val="1"/>
                <w:color w:val="auto"/>
              </w:rPr>
              <w:t>Exhibit No.</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940" w:type="dxa"/>
            <w:vAlign w:val="bottom"/>
          </w:tcPr>
          <w:p>
            <w:pPr>
              <w:ind w:left="680"/>
              <w:spacing w:after="0"/>
              <w:rPr>
                <w:sz w:val="20"/>
                <w:szCs w:val="20"/>
                <w:color w:val="auto"/>
              </w:rPr>
            </w:pPr>
            <w:r>
              <w:rPr>
                <w:rFonts w:ascii="Arial" w:cs="Arial" w:eastAsia="Arial" w:hAnsi="Arial"/>
                <w:sz w:val="12"/>
                <w:szCs w:val="12"/>
                <w:b w:val="1"/>
                <w:bCs w:val="1"/>
                <w:color w:val="auto"/>
              </w:rPr>
              <w:t>Description</w:t>
            </w:r>
          </w:p>
        </w:tc>
      </w:tr>
      <w:tr>
        <w:trPr>
          <w:trHeight w:val="115"/>
        </w:trPr>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bottom w:val="single" w:sz="8" w:color="0000FF"/>
            </w:tcBorders>
          </w:tcPr>
          <w:p>
            <w:pPr>
              <w:spacing w:after="0" w:line="115" w:lineRule="exact"/>
              <w:rPr>
                <w:rFonts w:ascii="Arial" w:cs="Arial" w:eastAsia="Arial" w:hAnsi="Arial"/>
                <w:sz w:val="12"/>
                <w:szCs w:val="12"/>
                <w:color w:val="0000FF"/>
                <w:w w:val="76"/>
              </w:rPr>
            </w:pPr>
            <w:hyperlink w:anchor="page3">
              <w:r>
                <w:rPr>
                  <w:rFonts w:ascii="Arial" w:cs="Arial" w:eastAsia="Arial" w:hAnsi="Arial"/>
                  <w:sz w:val="12"/>
                  <w:szCs w:val="12"/>
                  <w:color w:val="0000FF"/>
                  <w:w w:val="76"/>
                </w:rPr>
                <w:t>99.</w:t>
              </w:r>
              <w:r>
                <w:rPr>
                  <w:rFonts w:ascii="Arial" w:cs="Arial" w:eastAsia="Arial" w:hAnsi="Arial"/>
                  <w:sz w:val="12"/>
                  <w:szCs w:val="12"/>
                  <w:u w:val="single" w:color="auto"/>
                  <w:color w:val="0000FF"/>
                  <w:w w:val="76"/>
                </w:rPr>
                <w:t>1</w:t>
              </w:r>
            </w:hyperlink>
          </w:p>
        </w:tc>
        <w:tc>
          <w:tcPr>
            <w:tcW w:w="22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980" w:type="dxa"/>
            <w:vAlign w:val="bottom"/>
            <w:tcBorders>
              <w:top w:val="single" w:sz="8" w:color="auto"/>
              <w:bottom w:val="single" w:sz="8" w:color="0000FF"/>
            </w:tcBorders>
            <w:gridSpan w:val="2"/>
          </w:tcPr>
          <w:p>
            <w:pPr>
              <w:ind w:left="20"/>
              <w:spacing w:after="0" w:line="115" w:lineRule="exact"/>
              <w:rPr>
                <w:rFonts w:ascii="Arial" w:cs="Arial" w:eastAsia="Arial" w:hAnsi="Arial"/>
                <w:sz w:val="12"/>
                <w:szCs w:val="12"/>
                <w:color w:val="0000FF"/>
                <w:w w:val="87"/>
              </w:rPr>
            </w:pPr>
            <w:hyperlink w:anchor="page3">
              <w:r>
                <w:rPr>
                  <w:rFonts w:ascii="Arial" w:cs="Arial" w:eastAsia="Arial" w:hAnsi="Arial"/>
                  <w:sz w:val="12"/>
                  <w:szCs w:val="12"/>
                  <w:color w:val="0000FF"/>
                  <w:w w:val="87"/>
                </w:rPr>
                <w:t xml:space="preserve">Press release issued by Health Catalyst, Inc. on June </w:t>
              </w:r>
            </w:hyperlink>
            <w:r>
              <w:rPr>
                <w:rFonts w:ascii="Arial" w:cs="Arial" w:eastAsia="Arial" w:hAnsi="Arial"/>
                <w:sz w:val="12"/>
                <w:szCs w:val="12"/>
                <w:color w:val="0000FF"/>
                <w:w w:val="87"/>
              </w:rPr>
              <w:t>24, 2021</w:t>
            </w:r>
          </w:p>
        </w:tc>
        <w:tc>
          <w:tcPr>
            <w:tcW w:w="4940" w:type="dxa"/>
            <w:vAlign w:val="bottom"/>
            <w:tcBorders>
              <w:top w:val="single" w:sz="8" w:color="auto"/>
            </w:tcBorders>
          </w:tcPr>
          <w:p>
            <w:pPr>
              <w:spacing w:after="0"/>
              <w:rPr>
                <w:sz w:val="10"/>
                <w:szCs w:val="10"/>
                <w:color w:val="auto"/>
              </w:rPr>
            </w:pPr>
          </w:p>
        </w:tc>
      </w:tr>
      <w:tr>
        <w:trPr>
          <w:trHeight w:val="133"/>
        </w:trPr>
        <w:tc>
          <w:tcPr>
            <w:tcW w:w="220" w:type="dxa"/>
            <w:vAlign w:val="bottom"/>
          </w:tcPr>
          <w:p>
            <w:pPr>
              <w:spacing w:after="0"/>
              <w:rPr>
                <w:sz w:val="11"/>
                <w:szCs w:val="11"/>
                <w:color w:val="auto"/>
              </w:rPr>
            </w:pPr>
          </w:p>
        </w:tc>
        <w:tc>
          <w:tcPr>
            <w:tcW w:w="200" w:type="dxa"/>
            <w:vAlign w:val="bottom"/>
          </w:tcPr>
          <w:p>
            <w:pPr>
              <w:spacing w:after="0" w:line="133" w:lineRule="exact"/>
              <w:rPr>
                <w:rFonts w:ascii="Arial" w:cs="Arial" w:eastAsia="Arial" w:hAnsi="Arial"/>
                <w:sz w:val="12"/>
                <w:szCs w:val="12"/>
                <w:color w:val="0000FF"/>
                <w:w w:val="76"/>
              </w:rPr>
            </w:pPr>
            <w:hyperlink w:anchor="page5">
              <w:r>
                <w:rPr>
                  <w:rFonts w:ascii="Arial" w:cs="Arial" w:eastAsia="Arial" w:hAnsi="Arial"/>
                  <w:sz w:val="12"/>
                  <w:szCs w:val="12"/>
                  <w:color w:val="0000FF"/>
                  <w:w w:val="76"/>
                </w:rPr>
                <w:t>99.</w:t>
              </w:r>
              <w:r>
                <w:rPr>
                  <w:rFonts w:ascii="Arial" w:cs="Arial" w:eastAsia="Arial" w:hAnsi="Arial"/>
                  <w:sz w:val="12"/>
                  <w:szCs w:val="12"/>
                  <w:u w:val="single" w:color="auto"/>
                  <w:color w:val="0000FF"/>
                  <w:w w:val="76"/>
                </w:rPr>
                <w:t>2</w:t>
              </w:r>
            </w:hyperlink>
          </w:p>
        </w:tc>
        <w:tc>
          <w:tcPr>
            <w:tcW w:w="2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920" w:type="dxa"/>
            <w:vAlign w:val="bottom"/>
            <w:gridSpan w:val="3"/>
          </w:tcPr>
          <w:p>
            <w:pPr>
              <w:ind w:left="20"/>
              <w:spacing w:after="0" w:line="133" w:lineRule="exact"/>
              <w:rPr>
                <w:rFonts w:ascii="Arial" w:cs="Arial" w:eastAsia="Arial" w:hAnsi="Arial"/>
                <w:sz w:val="12"/>
                <w:szCs w:val="12"/>
                <w:color w:val="0000FF"/>
              </w:rPr>
            </w:pPr>
            <w:hyperlink w:anchor="page5">
              <w:r>
                <w:rPr>
                  <w:rFonts w:ascii="Arial" w:cs="Arial" w:eastAsia="Arial" w:hAnsi="Arial"/>
                  <w:sz w:val="12"/>
                  <w:szCs w:val="12"/>
                  <w:color w:val="0000FF"/>
                </w:rPr>
                <w:t>Investor Presentation</w:t>
              </w:r>
            </w:hyperlink>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jc w:val="both"/>
        <w:ind w:firstLine="216"/>
        <w:spacing w:after="0" w:line="228" w:lineRule="auto"/>
        <w:rPr>
          <w:sz w:val="20"/>
          <w:szCs w:val="20"/>
          <w:color w:val="auto"/>
        </w:rPr>
      </w:pPr>
      <w:r>
        <w:rPr>
          <w:rFonts w:ascii="Arial" w:cs="Arial" w:eastAsia="Arial" w:hAnsi="Arial"/>
          <w:sz w:val="12"/>
          <w:szCs w:val="12"/>
          <w:color w:val="auto"/>
        </w:rPr>
        <w:t>This Form 8-K contains forward-looking statements relating to expectations, plans, and prospects including expectations relating to our ability to close, and the timing of the closing of, this transaction and the benefits that will be derived from this transaction. These forward-looking statements are based upon the current expectations and beliefs of Health Catalyst’s management as of the date of this Form 8-K, and are subject to certain risks and uncertainties that could cause actual results to differ materially from those described in the forward-looking statements including, without limitation, the risk of adverse and unpredictable macro-economic conditions and risks related to closing this transaction and integration of the companies. All forward-looking statements in this Form 8-K are based on information available to Health Catalyst as of the date hereof, and Health Catalyst disclaims any obligation to update these forward-looking statements.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SIGNATURE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1"/>
          <w:szCs w:val="11"/>
          <w:b w:val="1"/>
          <w:bCs w:val="1"/>
          <w:color w:val="auto"/>
        </w:rPr>
        <w:t>HEALTH CATALYST, INC.</w:t>
      </w:r>
    </w:p>
    <w:p>
      <w:pPr>
        <w:spacing w:after="0" w:line="193" w:lineRule="exact"/>
        <w:rPr>
          <w:sz w:val="20"/>
          <w:szCs w:val="20"/>
          <w:color w:val="auto"/>
        </w:rPr>
      </w:pPr>
    </w:p>
    <w:p>
      <w:pPr>
        <w:ind w:left="220"/>
        <w:spacing w:after="0"/>
        <w:tabs>
          <w:tab w:leader="none" w:pos="7380" w:val="left"/>
          <w:tab w:leader="none" w:pos="9180" w:val="left"/>
        </w:tabs>
        <w:rPr>
          <w:sz w:val="20"/>
          <w:szCs w:val="20"/>
          <w:color w:val="auto"/>
        </w:rPr>
      </w:pPr>
      <w:r>
        <w:rPr>
          <w:rFonts w:ascii="Arial" w:cs="Arial" w:eastAsia="Arial" w:hAnsi="Arial"/>
          <w:sz w:val="11"/>
          <w:szCs w:val="11"/>
          <w:color w:val="auto"/>
        </w:rPr>
        <w:t>Date: June 24,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Bryan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4801235</wp:posOffset>
            </wp:positionH>
            <wp:positionV relativeFrom="paragraph">
              <wp:posOffset>8890</wp:posOffset>
            </wp:positionV>
            <wp:extent cx="23602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0295" cy="5715"/>
                    </a:xfrm>
                    <a:prstGeom prst="rect">
                      <a:avLst/>
                    </a:prstGeom>
                    <a:noFill/>
                  </pic:spPr>
                </pic:pic>
              </a:graphicData>
            </a:graphic>
          </wp:anchor>
        </w:drawing>
      </w:r>
    </w:p>
    <w:p>
      <w:pPr>
        <w:spacing w:after="0" w:line="7" w:lineRule="exact"/>
        <w:rPr>
          <w:sz w:val="20"/>
          <w:szCs w:val="20"/>
          <w:color w:val="auto"/>
        </w:rPr>
      </w:pPr>
    </w:p>
    <w:p>
      <w:pPr>
        <w:jc w:val="center"/>
        <w:ind w:left="7760"/>
        <w:spacing w:after="0"/>
        <w:rPr>
          <w:sz w:val="20"/>
          <w:szCs w:val="20"/>
          <w:color w:val="auto"/>
        </w:rPr>
      </w:pPr>
      <w:r>
        <w:rPr>
          <w:rFonts w:ascii="Arial" w:cs="Arial" w:eastAsia="Arial" w:hAnsi="Arial"/>
          <w:sz w:val="11"/>
          <w:szCs w:val="11"/>
          <w:color w:val="auto"/>
        </w:rPr>
        <w:t>Bryan Hunt</w:t>
      </w:r>
    </w:p>
    <w:p>
      <w:pPr>
        <w:spacing w:after="0" w:line="54" w:lineRule="exact"/>
        <w:rPr>
          <w:sz w:val="20"/>
          <w:szCs w:val="20"/>
          <w:color w:val="auto"/>
        </w:rPr>
      </w:pPr>
    </w:p>
    <w:p>
      <w:pPr>
        <w:jc w:val="center"/>
        <w:ind w:left="7760"/>
        <w:spacing w:after="0"/>
        <w:rPr>
          <w:sz w:val="20"/>
          <w:szCs w:val="20"/>
          <w:color w:val="auto"/>
        </w:rPr>
      </w:pPr>
      <w:r>
        <w:rPr>
          <w:rFonts w:ascii="Arial" w:cs="Arial" w:eastAsia="Arial" w:hAnsi="Arial"/>
          <w:sz w:val="11"/>
          <w:szCs w:val="11"/>
          <w:color w:val="auto"/>
        </w:rPr>
        <w:t>Chief Financial Officer</w:t>
      </w:r>
    </w:p>
    <w:p>
      <w:pPr>
        <w:sectPr>
          <w:pgSz w:w="11900" w:h="16838" w:orient="portrait"/>
          <w:cols w:equalWidth="0" w:num="1">
            <w:col w:w="11300"/>
          </w:cols>
          <w:pgMar w:left="300" w:top="793"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217295" cy="211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295" cy="2114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33333"/>
        </w:rPr>
        <w:t>Health Catalyst Announces Agreement to Acquire Twistle</w:t>
      </w:r>
    </w:p>
    <w:p>
      <w:pPr>
        <w:spacing w:after="0" w:line="162" w:lineRule="exact"/>
        <w:rPr>
          <w:sz w:val="20"/>
          <w:szCs w:val="20"/>
          <w:color w:val="auto"/>
        </w:rPr>
      </w:pPr>
    </w:p>
    <w:p>
      <w:pPr>
        <w:jc w:val="center"/>
        <w:spacing w:after="0" w:line="256" w:lineRule="auto"/>
        <w:rPr>
          <w:sz w:val="20"/>
          <w:szCs w:val="20"/>
          <w:color w:val="auto"/>
        </w:rPr>
      </w:pPr>
      <w:r>
        <w:rPr>
          <w:rFonts w:ascii="Arial" w:cs="Arial" w:eastAsia="Arial" w:hAnsi="Arial"/>
          <w:sz w:val="13"/>
          <w:szCs w:val="13"/>
          <w:i w:val="1"/>
          <w:iCs w:val="1"/>
          <w:color w:val="auto"/>
        </w:rPr>
        <w:t>Twistle, a Patient Engagement SaaS Technology Solution, to Enhance Health Catalyst’s Population Health Offering and Enable More Comprehensive Support for Organizations Transitioning to Population Health Care Models</w:t>
      </w:r>
    </w:p>
    <w:p>
      <w:pPr>
        <w:spacing w:after="0" w:line="127" w:lineRule="exact"/>
        <w:rPr>
          <w:sz w:val="20"/>
          <w:szCs w:val="20"/>
          <w:color w:val="auto"/>
        </w:rPr>
      </w:pPr>
    </w:p>
    <w:p>
      <w:pPr>
        <w:jc w:val="both"/>
        <w:ind w:right="20"/>
        <w:spacing w:after="0" w:line="247" w:lineRule="auto"/>
        <w:rPr>
          <w:sz w:val="20"/>
          <w:szCs w:val="20"/>
          <w:color w:val="auto"/>
        </w:rPr>
      </w:pPr>
      <w:r>
        <w:rPr>
          <w:rFonts w:ascii="Arial" w:cs="Arial" w:eastAsia="Arial" w:hAnsi="Arial"/>
          <w:sz w:val="13"/>
          <w:szCs w:val="13"/>
          <w:b w:val="1"/>
          <w:bCs w:val="1"/>
          <w:color w:val="auto"/>
        </w:rPr>
        <w:t xml:space="preserve">Salt Lake City, Utah – June 24, 2021 </w:t>
      </w:r>
      <w:r>
        <w:rPr>
          <w:rFonts w:ascii="Arial" w:cs="Arial" w:eastAsia="Arial" w:hAnsi="Arial"/>
          <w:sz w:val="13"/>
          <w:szCs w:val="13"/>
          <w:color w:val="auto"/>
        </w:rPr>
        <w:t>– Health Catalyst, Inc. (“Health Catalyst,” Nasdaq: HCAT), a leading provider of data and analytics technology and services to healthcare organizations, today announced that</w:t>
      </w:r>
      <w:r>
        <w:rPr>
          <w:rFonts w:ascii="Arial" w:cs="Arial" w:eastAsia="Arial" w:hAnsi="Arial"/>
          <w:sz w:val="13"/>
          <w:szCs w:val="13"/>
          <w:b w:val="1"/>
          <w:bCs w:val="1"/>
          <w:color w:val="auto"/>
        </w:rPr>
        <w:t xml:space="preserve"> </w:t>
      </w:r>
      <w:r>
        <w:rPr>
          <w:rFonts w:ascii="Arial" w:cs="Arial" w:eastAsia="Arial" w:hAnsi="Arial"/>
          <w:sz w:val="13"/>
          <w:szCs w:val="13"/>
          <w:color w:val="auto"/>
        </w:rPr>
        <w:t>it has entered into a definitive agreement to acquire Twistle, Inc. (“Twistle”), an Albuquerque, New Mexico-based healthcare patient engagement SaaS technology company that automates patient-centered, HIPAA-compliant communication between care teams and patients to transform the patient experience, drive better care outcomes, and reduce healthcare costs.</w:t>
      </w:r>
    </w:p>
    <w:p>
      <w:pPr>
        <w:spacing w:after="0" w:line="136"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color w:val="auto"/>
        </w:rPr>
        <w:t>We anticipate that Twistle’s leading clinical workflow and patient engagement platform, paired with the Health Catalyst population health offering, will enable a comprehensive go-to-market solution to address the population health needs of healthcare organizations, as well as Life Science organizations, around the globe. Health Catalyst’s cloud-based data platform, DOS™, will enhance Twistle’s automation by enabling richer data-driven patient interaction. The Twistle technology also enables Health Catalyst’s clinical, quality, and Life Sciences solutions, through established clinical pathways and patient communication channels.</w:t>
      </w:r>
    </w:p>
    <w:p>
      <w:pPr>
        <w:spacing w:after="0" w:line="121"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color w:val="auto"/>
        </w:rPr>
        <w:t>“Twistle is a leading healthcare technology company committed to developing software that healthcare organizations and Life Science companies need to keep patients engaged in their healthcare,” said Dan Burton, CEO of Health Catalyst. “Their efforts to improve patient outcomes and reduce the cost of care are deeply aligned with our mission to be the catalyst for massive, measurable, data-informed improvements. We’re excited to welcome the Twistle team to Health Catalyst and look forward to working together to enable healthcare organizations to achieve the promise of population health.”</w:t>
      </w:r>
    </w:p>
    <w:p>
      <w:pPr>
        <w:spacing w:after="0" w:line="121"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"Health Catalyst's acquisition of Twistle highlights our belief that the most promising technology in healthcare is combining AI and data with 'digital endpoints' for patient services to deliver value. Twistle creates endpoints that, in our experience, make it simple for us to interact asynchronously with patients in smarter ways, meeting them where they are digitally, and give our care teams the time to be even better at what they do best—delivering great care," said Aaron Martin, managing general partner of Providence Ventures and chief digital officer of Providence. "Combined with Health Catalyst's data and analytics technology, we expect accelerated innovation in personalizing our outreach to patients," he added.</w:t>
      </w:r>
    </w:p>
    <w:p>
      <w:pPr>
        <w:spacing w:after="0" w:line="143" w:lineRule="exact"/>
        <w:rPr>
          <w:sz w:val="20"/>
          <w:szCs w:val="20"/>
          <w:color w:val="auto"/>
        </w:rPr>
      </w:pPr>
    </w:p>
    <w:p>
      <w:pPr>
        <w:jc w:val="both"/>
        <w:ind w:right="60"/>
        <w:spacing w:after="0" w:line="266" w:lineRule="auto"/>
        <w:rPr>
          <w:sz w:val="20"/>
          <w:szCs w:val="20"/>
          <w:color w:val="auto"/>
        </w:rPr>
      </w:pPr>
      <w:r>
        <w:rPr>
          <w:rFonts w:ascii="Arial" w:cs="Arial" w:eastAsia="Arial" w:hAnsi="Arial"/>
          <w:sz w:val="12"/>
          <w:szCs w:val="12"/>
          <w:color w:val="auto"/>
        </w:rPr>
        <w:t>“The synergy between our cultures, values, and solutions will have a tremendous impact on the health and wellness of patients. Health Catalyst’s patient insights can trigger personalized outreach, and the patient’s unique profile will allow Twistle’s communication pathways to adapt to their preferences and attributes in unprecedented ways. We are excited about the prospects of our joint solutions proactively engaging at-risk populations, advancing health equity, and improving patient activation in their care,” said Kulmeet Singh, founder and CEO of Twistle. “We anticipate that care teams will realize even more efficiency gains as our automated outreach will be more intelligent and individualized, freeing their time to focus on patients that require intervention to stay on track with their medical plan of care.”</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Health Catalyst expects to fund the transaction using a mix of stock and cash. The parties expect the transaction, which is subject to customary closing conditions, to close in early Q3 2021. Further details regarding the acquisition will be reported on a Form 8-K filing that will be filed with the Securities and Exchange Commission today.</w:t>
      </w:r>
    </w:p>
    <w:p>
      <w:pPr>
        <w:sectPr>
          <w:pgSz w:w="11900" w:h="16838" w:orient="portrait"/>
          <w:cols w:equalWidth="0" w:num="1">
            <w:col w:w="11300"/>
          </w:cols>
          <w:pgMar w:left="300" w:top="643" w:right="29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About Health Catalyst</w:t>
      </w:r>
    </w:p>
    <w:p>
      <w:pPr>
        <w:spacing w:after="0" w:line="116" w:lineRule="exact"/>
        <w:rPr>
          <w:sz w:val="20"/>
          <w:szCs w:val="20"/>
          <w:color w:val="auto"/>
        </w:rPr>
      </w:pPr>
    </w:p>
    <w:p>
      <w:pPr>
        <w:ind w:right="140"/>
        <w:spacing w:after="0" w:line="310" w:lineRule="auto"/>
        <w:rPr>
          <w:sz w:val="20"/>
          <w:szCs w:val="20"/>
          <w:color w:val="auto"/>
        </w:rPr>
      </w:pPr>
      <w:r>
        <w:rPr>
          <w:rFonts w:ascii="Arial" w:cs="Arial" w:eastAsia="Arial" w:hAnsi="Arial"/>
          <w:sz w:val="11"/>
          <w:szCs w:val="11"/>
          <w:color w:val="auto"/>
        </w:rPr>
        <w:t>Health Catalyst is a leading provider of data and analytics technology and services to healthcare organizations committed to being the catalyst for massive, measurable, data-informed healthcare improvement. Its customers leverage the cloud-based data platform—powered by data from more than 100 million patient records and encompassing trillions of facts—as well as its analytics software and professional services expertise to make data-informed decisions and realize measurable clinical, financial, and operational improvements. Health Catalyst envisions a future in which all healthcare decisions are data informed.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Twistle</w:t>
      </w:r>
    </w:p>
    <w:p>
      <w:pPr>
        <w:spacing w:after="0" w:line="107" w:lineRule="exact"/>
        <w:rPr>
          <w:sz w:val="20"/>
          <w:szCs w:val="20"/>
          <w:color w:val="auto"/>
        </w:rPr>
      </w:pPr>
    </w:p>
    <w:p>
      <w:pPr>
        <w:ind w:right="80"/>
        <w:spacing w:after="0" w:line="266" w:lineRule="auto"/>
        <w:rPr>
          <w:sz w:val="20"/>
          <w:szCs w:val="20"/>
          <w:color w:val="auto"/>
        </w:rPr>
      </w:pPr>
      <w:r>
        <w:rPr>
          <w:rFonts w:ascii="Arial" w:cs="Arial" w:eastAsia="Arial" w:hAnsi="Arial"/>
          <w:sz w:val="12"/>
          <w:szCs w:val="12"/>
          <w:color w:val="auto"/>
        </w:rPr>
        <w:t>Twistle, a healthcare technology company founded in 2011, automates patient-centered, HIPAA-compliant communication between care teams and patients to transform the patient experience, drive better outcomes, and reduce costs. An automatic navigation (GPS) system for health, Twistle offers “turn-by-turn” guidance to patients as they navigate care journeys before, during, and after a care episode. Patients are engaged in their own care and follow best practices, communicate as needed with their care teams, and realize measurably better outcomes. Twistle integrates sophisticated automation with multi-channel communication, engaging patients through secure text messaging, interactive voice response, patient portals, or the health system’s digital applications.</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This press release contains forward-looking statements relating to expectations, plans, and prospects including expectations relating to our ability to close, and the timing of the closing of, this transaction and the benefits that will be derived from this transaction. These forward-looking statements are based upon the current expectations and beliefs of Health Catalyst’s management as of the date of this release, and are subject to certain risks and uncertainties that could cause actual results to differ materially from those described in the forward-looking statements including, without limitation, the risk of adverse and unpredictable macro-economic conditions and risks related to closing this transaction and integration of the companies. All forward-looking statements in this press release are based on information available to the Company as of the date hereof, and Health Catalyst disclaims any obligation to update these forward-looking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 Catalyst Media Contact: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Amanda Hundt</w:t>
      </w:r>
    </w:p>
    <w:p>
      <w:pPr>
        <w:spacing w:after="0"/>
        <w:rPr>
          <w:sz w:val="20"/>
          <w:szCs w:val="20"/>
          <w:color w:val="auto"/>
        </w:rPr>
      </w:pPr>
      <w:r>
        <w:rPr>
          <w:rFonts w:ascii="Arial" w:cs="Arial" w:eastAsia="Arial" w:hAnsi="Arial"/>
          <w:sz w:val="13"/>
          <w:szCs w:val="13"/>
          <w:color w:val="auto"/>
        </w:rPr>
        <w:t>amanda.hundt@healthcatalyst.com</w:t>
      </w:r>
    </w:p>
    <w:p>
      <w:pPr>
        <w:spacing w:after="0"/>
        <w:rPr>
          <w:sz w:val="20"/>
          <w:szCs w:val="20"/>
          <w:color w:val="auto"/>
        </w:rPr>
      </w:pPr>
      <w:r>
        <w:rPr>
          <w:rFonts w:ascii="Arial" w:cs="Arial" w:eastAsia="Arial" w:hAnsi="Arial"/>
          <w:sz w:val="13"/>
          <w:szCs w:val="13"/>
          <w:color w:val="auto"/>
        </w:rPr>
        <w:t>575-491-0974</w:t>
      </w:r>
    </w:p>
    <w:p>
      <w:pPr>
        <w:sectPr>
          <w:pgSz w:w="11900" w:h="16838" w:orient="portrait"/>
          <w:cols w:equalWidth="0" w:num="1">
            <w:col w:w="11260"/>
          </w:cols>
          <w:pgMar w:left="300" w:top="638"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2021-06-24T15:06:00Z</dcterms:created>
  <dcterms:modified xsi:type="dcterms:W3CDTF">2021-06-24T15:06:00Z</dcterms:modified>
</cp:coreProperties>
</file>