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w:t>
      </w:r>
    </w:p>
    <w:p>
      <w:pPr>
        <w:spacing w:after="0" w:line="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w:t>
      </w:r>
    </w:p>
    <w:p>
      <w:pPr>
        <w:spacing w:after="0" w:line="100"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24, 2026</w:t>
      </w:r>
    </w:p>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HEALTH CATALYST, INC.</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w:t>
      </w:r>
    </w:p>
    <w:p>
      <w:pPr>
        <w:spacing w:after="0" w:line="39"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2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740" w:type="dxa"/>
            <w:vAlign w:val="bottom"/>
          </w:tcPr>
          <w:p>
            <w:pPr>
              <w:jc w:val="right"/>
              <w:ind w:right="1419"/>
              <w:spacing w:after="0"/>
              <w:rPr>
                <w:sz w:val="20"/>
                <w:szCs w:val="20"/>
                <w:color w:val="auto"/>
              </w:rPr>
            </w:pPr>
            <w:r>
              <w:rPr>
                <w:rFonts w:ascii="Times New Roman" w:cs="Times New Roman" w:eastAsia="Times New Roman" w:hAnsi="Times New Roman"/>
                <w:sz w:val="16"/>
                <w:szCs w:val="16"/>
                <w:b w:val="1"/>
                <w:bCs w:val="1"/>
                <w:color w:val="auto"/>
              </w:rPr>
              <w:t>001-38993</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45-3337483</w:t>
            </w:r>
          </w:p>
        </w:tc>
      </w:tr>
    </w:tbl>
    <w:p>
      <w:pPr>
        <w:spacing w:after="0" w:line="1" w:lineRule="exact"/>
        <w:rPr>
          <w:sz w:val="24"/>
          <w:szCs w:val="24"/>
          <w:color w:val="auto"/>
        </w:rPr>
      </w:pPr>
    </w:p>
    <w:p>
      <w:pPr>
        <w:sectPr>
          <w:pgSz w:w="11900" w:h="16838" w:orient="portrait"/>
          <w:cols w:equalWidth="0" w:num="1">
            <w:col w:w="11180"/>
          </w:cols>
          <w:pgMar w:left="320" w:top="1181" w:right="399" w:bottom="1440" w:gutter="0" w:footer="0" w:header="0"/>
        </w:sectPr>
      </w:pPr>
    </w:p>
    <w:tbl>
      <w:tblPr>
        <w:tblLayout w:type="fixed"/>
        <w:tblInd w:w="940" w:type="dxa"/>
        <w:tblCellMar>
          <w:top w:w="0" w:type="dxa"/>
          <w:left w:w="0" w:type="dxa"/>
          <w:bottom w:w="0" w:type="dxa"/>
          <w:right w:w="0" w:type="dxa"/>
        </w:tblCellMar>
      </w:tblPr>
      <w:tr>
        <w:trPr>
          <w:trHeight w:val="168"/>
        </w:trPr>
        <w:tc>
          <w:tcPr>
            <w:tcW w:w="2020" w:type="dxa"/>
            <w:vAlign w:val="bottom"/>
          </w:tcPr>
          <w:p>
            <w:pPr>
              <w:jc w:val="center"/>
              <w:ind w:right="5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180" w:type="dxa"/>
            <w:vAlign w:val="bottom"/>
          </w:tcPr>
          <w:p>
            <w:pPr>
              <w:jc w:val="center"/>
              <w:ind w:left="39"/>
              <w:spacing w:after="0" w:line="168" w:lineRule="exact"/>
              <w:rPr>
                <w:sz w:val="20"/>
                <w:szCs w:val="20"/>
                <w:color w:val="auto"/>
              </w:rPr>
            </w:pPr>
            <w:r>
              <w:rPr>
                <w:rFonts w:ascii="Times New Roman" w:cs="Times New Roman" w:eastAsia="Times New Roman" w:hAnsi="Times New Roman"/>
                <w:sz w:val="16"/>
                <w:szCs w:val="16"/>
                <w:color w:val="auto"/>
              </w:rPr>
              <w:t>(Commission File Number)</w:t>
            </w:r>
          </w:p>
        </w:tc>
      </w:tr>
      <w:tr>
        <w:trPr>
          <w:trHeight w:val="210"/>
        </w:trPr>
        <w:tc>
          <w:tcPr>
            <w:tcW w:w="20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incorporation)</w:t>
            </w:r>
          </w:p>
        </w:tc>
        <w:tc>
          <w:tcPr>
            <w:tcW w:w="5180" w:type="dxa"/>
            <w:vAlign w:val="bottom"/>
          </w:tcPr>
          <w:p>
            <w:pPr>
              <w:spacing w:after="0"/>
              <w:rPr>
                <w:sz w:val="18"/>
                <w:szCs w:val="18"/>
                <w:color w:val="auto"/>
              </w:rPr>
            </w:pPr>
          </w:p>
        </w:tc>
      </w:tr>
      <w:tr>
        <w:trPr>
          <w:trHeight w:val="395"/>
        </w:trPr>
        <w:tc>
          <w:tcPr>
            <w:tcW w:w="2020" w:type="dxa"/>
            <w:vAlign w:val="bottom"/>
          </w:tcPr>
          <w:p>
            <w:pPr>
              <w:spacing w:after="0"/>
              <w:rPr>
                <w:sz w:val="24"/>
                <w:szCs w:val="24"/>
                <w:color w:val="auto"/>
              </w:rPr>
            </w:pPr>
          </w:p>
        </w:tc>
        <w:tc>
          <w:tcPr>
            <w:tcW w:w="518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10897 South River Front Parkway #300</w:t>
            </w:r>
          </w:p>
        </w:tc>
      </w:tr>
      <w:tr>
        <w:trPr>
          <w:trHeight w:val="191"/>
        </w:trPr>
        <w:tc>
          <w:tcPr>
            <w:tcW w:w="2020" w:type="dxa"/>
            <w:vAlign w:val="bottom"/>
          </w:tcPr>
          <w:p>
            <w:pPr>
              <w:spacing w:after="0"/>
              <w:rPr>
                <w:sz w:val="16"/>
                <w:szCs w:val="16"/>
                <w:color w:val="auto"/>
              </w:rPr>
            </w:pPr>
          </w:p>
        </w:tc>
        <w:tc>
          <w:tcPr>
            <w:tcW w:w="518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South Jordan, UT 84095</w:t>
            </w:r>
          </w:p>
        </w:tc>
      </w:tr>
      <w:tr>
        <w:trPr>
          <w:trHeight w:val="210"/>
        </w:trPr>
        <w:tc>
          <w:tcPr>
            <w:tcW w:w="2020" w:type="dxa"/>
            <w:vAlign w:val="bottom"/>
          </w:tcPr>
          <w:p>
            <w:pPr>
              <w:spacing w:after="0"/>
              <w:rPr>
                <w:sz w:val="18"/>
                <w:szCs w:val="18"/>
                <w:color w:val="auto"/>
              </w:rPr>
            </w:pPr>
          </w:p>
        </w:tc>
        <w:tc>
          <w:tcPr>
            <w:tcW w:w="51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tc>
      </w:tr>
      <w:tr>
        <w:trPr>
          <w:trHeight w:val="424"/>
        </w:trPr>
        <w:tc>
          <w:tcPr>
            <w:tcW w:w="2020" w:type="dxa"/>
            <w:vAlign w:val="bottom"/>
          </w:tcPr>
          <w:p>
            <w:pPr>
              <w:spacing w:after="0"/>
              <w:rPr>
                <w:sz w:val="24"/>
                <w:szCs w:val="24"/>
                <w:color w:val="auto"/>
              </w:rPr>
            </w:pPr>
          </w:p>
        </w:tc>
        <w:tc>
          <w:tcPr>
            <w:tcW w:w="5180" w:type="dxa"/>
            <w:vAlign w:val="bottom"/>
          </w:tcPr>
          <w:p>
            <w:pPr>
              <w:jc w:val="right"/>
              <w:ind w:right="1919"/>
              <w:spacing w:after="0"/>
              <w:rPr>
                <w:sz w:val="20"/>
                <w:szCs w:val="20"/>
                <w:color w:val="auto"/>
              </w:rPr>
            </w:pPr>
            <w:r>
              <w:rPr>
                <w:rFonts w:ascii="Times New Roman" w:cs="Times New Roman" w:eastAsia="Times New Roman" w:hAnsi="Times New Roman"/>
                <w:sz w:val="16"/>
                <w:szCs w:val="16"/>
                <w:b w:val="1"/>
                <w:bCs w:val="1"/>
                <w:color w:val="auto"/>
              </w:rPr>
              <w:t>(801) 708-6800</w:t>
            </w:r>
          </w:p>
        </w:tc>
      </w:tr>
      <w:tr>
        <w:trPr>
          <w:trHeight w:val="210"/>
        </w:trPr>
        <w:tc>
          <w:tcPr>
            <w:tcW w:w="2020" w:type="dxa"/>
            <w:vAlign w:val="bottom"/>
          </w:tcPr>
          <w:p>
            <w:pPr>
              <w:spacing w:after="0"/>
              <w:rPr>
                <w:sz w:val="18"/>
                <w:szCs w:val="18"/>
                <w:color w:val="auto"/>
              </w:rPr>
            </w:pPr>
          </w:p>
        </w:tc>
        <w:tc>
          <w:tcPr>
            <w:tcW w:w="51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424"/>
        </w:trPr>
        <w:tc>
          <w:tcPr>
            <w:tcW w:w="2020" w:type="dxa"/>
            <w:vAlign w:val="bottom"/>
          </w:tcPr>
          <w:p>
            <w:pPr>
              <w:spacing w:after="0"/>
              <w:rPr>
                <w:sz w:val="24"/>
                <w:szCs w:val="24"/>
                <w:color w:val="auto"/>
              </w:rPr>
            </w:pPr>
          </w:p>
        </w:tc>
        <w:tc>
          <w:tcPr>
            <w:tcW w:w="518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87"/>
        </w:trPr>
        <w:tc>
          <w:tcPr>
            <w:tcW w:w="2020" w:type="dxa"/>
            <w:vAlign w:val="bottom"/>
          </w:tcPr>
          <w:p>
            <w:pPr>
              <w:spacing w:after="0"/>
              <w:rPr>
                <w:sz w:val="16"/>
                <w:szCs w:val="16"/>
                <w:color w:val="auto"/>
              </w:rPr>
            </w:pPr>
          </w:p>
        </w:tc>
        <w:tc>
          <w:tcPr>
            <w:tcW w:w="51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r>
      <w:tr>
        <w:trPr>
          <w:trHeight w:val="212"/>
        </w:trPr>
        <w:tc>
          <w:tcPr>
            <w:tcW w:w="2020" w:type="dxa"/>
            <w:vAlign w:val="bottom"/>
          </w:tcPr>
          <w:p>
            <w:pPr>
              <w:spacing w:after="0"/>
              <w:rPr>
                <w:sz w:val="18"/>
                <w:szCs w:val="18"/>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w:t>
            </w:r>
          </w:p>
        </w:tc>
      </w:tr>
    </w:tbl>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6"/>
          <w:szCs w:val="16"/>
          <w:color w:val="auto"/>
        </w:rPr>
        <w:t>(IRS Employer</w:t>
      </w:r>
    </w:p>
    <w:p>
      <w:pPr>
        <w:jc w:val="center"/>
        <w:ind w:right="122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336" w:lineRule="exact"/>
        <w:rPr>
          <w:sz w:val="24"/>
          <w:szCs w:val="24"/>
          <w:color w:val="auto"/>
        </w:rPr>
      </w:pPr>
    </w:p>
    <w:p>
      <w:pPr>
        <w:sectPr>
          <w:pgSz w:w="11900" w:h="16838" w:orient="portrait"/>
          <w:cols w:equalWidth="0" w:num="2">
            <w:col w:w="8140" w:space="620"/>
            <w:col w:w="2420"/>
          </w:cols>
          <w:pgMar w:left="320" w:top="1181"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360" w:hanging="35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360" w:hanging="35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360" w:hanging="35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57" w:lineRule="exact"/>
        <w:rPr>
          <w:rFonts w:ascii="MS PGothic" w:cs="MS PGothic" w:eastAsia="MS PGothic" w:hAnsi="MS PGothic"/>
          <w:sz w:val="16"/>
          <w:szCs w:val="16"/>
          <w:color w:val="auto"/>
        </w:rPr>
      </w:pPr>
    </w:p>
    <w:p>
      <w:pPr>
        <w:ind w:left="312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______________________________________________________________</w:t>
      </w:r>
    </w:p>
    <w:p>
      <w:pPr>
        <w:spacing w:after="0" w:line="75"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3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280" w:type="dxa"/>
            <w:vAlign w:val="bottom"/>
          </w:tcPr>
          <w:p>
            <w:pPr>
              <w:spacing w:after="0"/>
              <w:rPr>
                <w:sz w:val="18"/>
                <w:szCs w:val="18"/>
                <w:color w:val="auto"/>
              </w:rPr>
            </w:pPr>
          </w:p>
        </w:tc>
      </w:tr>
      <w:tr>
        <w:trPr>
          <w:trHeight w:val="233"/>
        </w:trPr>
        <w:tc>
          <w:tcPr>
            <w:tcW w:w="342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gridSpan w:val="3"/>
          </w:tcPr>
          <w:p>
            <w:pPr>
              <w:jc w:val="center"/>
              <w:ind w:right="540"/>
              <w:spacing w:after="0"/>
              <w:rPr>
                <w:sz w:val="20"/>
                <w:szCs w:val="20"/>
                <w:color w:val="auto"/>
              </w:rPr>
            </w:pPr>
            <w:r>
              <w:rPr>
                <w:rFonts w:ascii="Times New Roman" w:cs="Times New Roman" w:eastAsia="Times New Roman" w:hAnsi="Times New Roman"/>
                <w:sz w:val="16"/>
                <w:szCs w:val="16"/>
                <w:color w:val="auto"/>
              </w:rPr>
              <w:t>Trading Symbol(s)</w:t>
            </w:r>
          </w:p>
        </w:tc>
        <w:tc>
          <w:tcPr>
            <w:tcW w:w="32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Name of exchange on which registered</w:t>
            </w:r>
          </w:p>
        </w:tc>
      </w:tr>
      <w:tr>
        <w:trPr>
          <w:trHeight w:val="209"/>
        </w:trPr>
        <w:tc>
          <w:tcPr>
            <w:tcW w:w="3420" w:type="dxa"/>
            <w:vAlign w:val="bottom"/>
            <w:tcBorders>
              <w:top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HCAT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r>
    </w:tbl>
    <w:p>
      <w:pPr>
        <w:spacing w:after="0" w:line="134"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w:t>
      </w:r>
    </w:p>
    <w:p>
      <w:pPr>
        <w:spacing w:after="0" w:line="224"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352" w:lineRule="exact"/>
        <w:rPr>
          <w:sz w:val="24"/>
          <w:szCs w:val="24"/>
          <w:color w:val="auto"/>
        </w:rPr>
      </w:pPr>
    </w:p>
    <w:p>
      <w:pPr>
        <w:ind w:right="52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1269365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181"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5.02. </w:t>
      </w:r>
      <w:r>
        <w:rPr>
          <w:rFonts w:ascii="Times New Roman" w:cs="Times New Roman" w:eastAsia="Times New Roman" w:hAnsi="Times New Roman"/>
          <w:sz w:val="16"/>
          <w:szCs w:val="16"/>
          <w:b w:val="1"/>
          <w:bCs w:val="1"/>
          <w:color w:val="auto"/>
        </w:rPr>
        <w:t>Departure of Directors or Certain Officers; Election of Directors; Appointment of Certain Officers; Compensatory Arrangements of Certain Officers.</w:t>
      </w:r>
    </w:p>
    <w:p>
      <w:pPr>
        <w:spacing w:after="0" w:line="26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6"/>
          <w:szCs w:val="16"/>
          <w:color w:val="auto"/>
        </w:rPr>
        <w:t>On April 24, 2026, the Board of Directors (our Board) of Health Catalyst, Inc. (the Company) determined that Linda Llewelyn will cease to serve as the Chief People Officer of the Company effective June 1, 2026 due to the elimination of the Chief People Officer role in connection with the workforce reduction described in this Current Report on Form 8-K. In order to enable a smooth transition of her prior responsibilities as Chief People Officer, the Company and Ms. Llewelyn anticipate entering into a separation agreement and an independent contractor agreement pursuant to which Ms. Llewelyn is expected to serve as a senior advisor starting June 2, 2026 through September 1, 2026. The Company expects the separation agreement will provide Ms. Llewelyn with the separation benefits under the Company’s Executive Severance Plan, which are summarized in the Company’s Definitive Proxy Statement on Schedule 14A filed with the Securities and Exchange Commission on May 19, 2025, in exchange for a general release of claims against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237"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6"/>
          <w:szCs w:val="16"/>
          <w:color w:val="auto"/>
        </w:rPr>
        <w:t>As part of Project Nexus, a strategic initiative designed to fundamentally transform the Company's operating model, simplify its organizational structure, and align resources around its highest-conviction technology opportunities, our Board authorized a workforce reduction on April 24, 2026. The Company expects this initiative to reduce its global workforce by approximately 9% and eliminate approximately 100 additional open, budgeted headcount positions across the US and India, collectively representing a meaningful reduction in the Company's cost structure. The Company will provide further details regarding the impact of this initiative in its upcoming Quarterly Report on Form 10-Q.</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64" w:lineRule="exact"/>
        <w:rPr>
          <w:sz w:val="20"/>
          <w:szCs w:val="20"/>
          <w:color w:val="auto"/>
        </w:rPr>
      </w:pPr>
    </w:p>
    <w:p>
      <w:pPr>
        <w:jc w:val="both"/>
        <w:ind w:firstLine="324"/>
        <w:spacing w:after="0" w:line="195" w:lineRule="exact"/>
        <w:rPr>
          <w:sz w:val="20"/>
          <w:szCs w:val="20"/>
          <w:color w:val="auto"/>
        </w:rPr>
      </w:pPr>
      <w:r>
        <w:rPr>
          <w:rFonts w:ascii="Times New Roman" w:cs="Times New Roman" w:eastAsia="Times New Roman" w:hAnsi="Times New Roman"/>
          <w:sz w:val="16"/>
          <w:szCs w:val="16"/>
          <w:color w:val="auto"/>
        </w:rPr>
        <w:t>This Current Report on Form 8-K contains “forward-looking statements” within the meaning of the Private Securities Litigation Reform Act of 1995, including statements regarding the entry into a separation agreement and an independent contractor agreement with Ms. Llewelyn and statements regarding the implementation and intended effect of the global workforce reduction and the timing and anticipated size of the related reduction of the Company’s global workforce. Any forward-looking statements contained in this Current Report on Form 8-K are based upon the Company’s historical performance and its current plans, estimates, and expectations, and are not a representation that such plans, estimates, or expectations will be achieved. These forward-looking statements represent the Company’s expectations as of the date of this Current Report on Form 8-K, and involve risks, uncertainties, and assumptions. The actual results may differ materially from those anticipated in the forward-looking statements as a result of numerous factors, many of which are beyond the control of the Company, including the risks and uncertainties disclosed in the Company’s reports filed from time to time with the Securities and Exchange Commission, including its most recent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and any subsequent filings on Forms 10-Q or 8-K, available at www.sec.gov. Except as required by law, the Company does not intend to update any forward-looking statement contained in this Current Report on Form 8-K to reflect events or circumstances arising after the date hereof.</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gridSpan w:val="8"/>
          </w:tcPr>
          <w:p>
            <w:pPr>
              <w:jc w:val="right"/>
              <w:ind w:right="2320"/>
              <w:spacing w:after="0"/>
              <w:rPr>
                <w:sz w:val="20"/>
                <w:szCs w:val="20"/>
                <w:color w:val="auto"/>
              </w:rPr>
            </w:pPr>
            <w:r>
              <w:rPr>
                <w:rFonts w:ascii="Times New Roman" w:cs="Times New Roman" w:eastAsia="Times New Roman" w:hAnsi="Times New Roman"/>
                <w:sz w:val="16"/>
                <w:szCs w:val="16"/>
                <w:color w:val="auto"/>
                <w:w w:val="99"/>
              </w:rPr>
              <w:t>(d) Exhibits.</w:t>
            </w: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3120" w:type="dxa"/>
            <w:vAlign w:val="bottom"/>
            <w:gridSpan w:val="7"/>
          </w:tcPr>
          <w:p>
            <w:pPr>
              <w:jc w:val="right"/>
              <w:ind w:right="2320"/>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6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7"/>
        </w:trPr>
        <w:tc>
          <w:tcPr>
            <w:tcW w:w="4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235"/>
        </w:trPr>
        <w:tc>
          <w:tcPr>
            <w:tcW w:w="480" w:type="dxa"/>
            <w:vAlign w:val="bottom"/>
            <w:gridSpan w:val="3"/>
          </w:tcPr>
          <w:p>
            <w:pPr>
              <w:ind w:left="20"/>
              <w:spacing w:after="0"/>
              <w:rPr>
                <w:rFonts w:ascii="Times New Roman" w:cs="Times New Roman" w:eastAsia="Times New Roman" w:hAnsi="Times New Roman"/>
                <w:sz w:val="16"/>
                <w:szCs w:val="16"/>
                <w:color w:val="0000FF"/>
                <w:w w:val="99"/>
              </w:rPr>
            </w:pPr>
            <w:hyperlink r:id="rId13">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hyperlink>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60" w:type="dxa"/>
            <w:vAlign w:val="bottom"/>
            <w:gridSpan w:val="4"/>
          </w:tcPr>
          <w:p>
            <w:pPr>
              <w:spacing w:after="0"/>
              <w:rPr>
                <w:rFonts w:ascii="Times New Roman" w:cs="Times New Roman" w:eastAsia="Times New Roman" w:hAnsi="Times New Roman"/>
                <w:sz w:val="16"/>
                <w:szCs w:val="16"/>
                <w:color w:val="0000FF"/>
              </w:rPr>
            </w:pPr>
            <w:hyperlink r:id="rId13">
              <w:r>
                <w:rPr>
                  <w:rFonts w:ascii="Times New Roman" w:cs="Times New Roman" w:eastAsia="Times New Roman" w:hAnsi="Times New Roman"/>
                  <w:sz w:val="16"/>
                  <w:szCs w:val="16"/>
                  <w:color w:val="0000FF"/>
                </w:rPr>
                <w:t>Form of Indemnification Agreement, between Health Catalyst, Inc. and each of its executive officers and directors</w:t>
              </w:r>
            </w:hyperlink>
          </w:p>
        </w:tc>
      </w:tr>
      <w:tr>
        <w:trPr>
          <w:trHeight w:val="250"/>
        </w:trPr>
        <w:tc>
          <w:tcPr>
            <w:tcW w:w="560" w:type="dxa"/>
            <w:vAlign w:val="bottom"/>
            <w:gridSpan w:val="4"/>
          </w:tcPr>
          <w:p>
            <w:pPr>
              <w:ind w:left="20"/>
              <w:spacing w:after="0"/>
              <w:rPr>
                <w:rFonts w:ascii="Times New Roman" w:cs="Times New Roman" w:eastAsia="Times New Roman" w:hAnsi="Times New Roman"/>
                <w:sz w:val="16"/>
                <w:szCs w:val="16"/>
                <w:color w:val="0000FF"/>
                <w:w w:val="99"/>
              </w:rPr>
            </w:pPr>
            <w:hyperlink r:id="rId14">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w:t>
              </w:r>
            </w:hyperlink>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6"/>
                <w:szCs w:val="16"/>
                <w:color w:val="0000FF"/>
              </w:rPr>
            </w:pPr>
            <w:hyperlink r:id="rId14">
              <w:r>
                <w:rPr>
                  <w:rFonts w:ascii="Times New Roman" w:cs="Times New Roman" w:eastAsia="Times New Roman" w:hAnsi="Times New Roman"/>
                  <w:sz w:val="16"/>
                  <w:szCs w:val="16"/>
                  <w:color w:val="0000FF"/>
                </w:rPr>
                <w:t>Non-Employee Director Compensation Policy</w:t>
              </w:r>
            </w:hyperlink>
          </w:p>
        </w:tc>
        <w:tc>
          <w:tcPr>
            <w:tcW w:w="4400" w:type="dxa"/>
            <w:vAlign w:val="bottom"/>
            <w:tcBorders>
              <w:top w:val="single" w:sz="8" w:color="0000FF"/>
            </w:tcBorders>
          </w:tcPr>
          <w:p>
            <w:pPr>
              <w:spacing w:after="0"/>
              <w:rPr>
                <w:sz w:val="21"/>
                <w:szCs w:val="21"/>
                <w:color w:val="auto"/>
              </w:rPr>
            </w:pPr>
          </w:p>
        </w:tc>
        <w:tc>
          <w:tcPr>
            <w:tcW w:w="66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20" w:type="dxa"/>
            <w:vAlign w:val="bottom"/>
            <w:gridSpan w:val="4"/>
          </w:tcPr>
          <w:p>
            <w:pPr>
              <w:spacing w:after="0"/>
              <w:rPr>
                <w:rFonts w:ascii="Times New Roman" w:cs="Times New Roman" w:eastAsia="Times New Roman" w:hAnsi="Times New Roman"/>
                <w:sz w:val="16"/>
                <w:szCs w:val="16"/>
                <w:color w:val="0000FF"/>
                <w:w w:val="99"/>
              </w:rPr>
            </w:pPr>
            <w:hyperlink r:id="rId1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3#***</w:t>
              </w:r>
            </w:hyperlink>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60" w:type="dxa"/>
            <w:vAlign w:val="bottom"/>
            <w:gridSpan w:val="4"/>
          </w:tcPr>
          <w:p>
            <w:pPr>
              <w:spacing w:after="0"/>
              <w:rPr>
                <w:rFonts w:ascii="Times New Roman" w:cs="Times New Roman" w:eastAsia="Times New Roman" w:hAnsi="Times New Roman"/>
                <w:sz w:val="16"/>
                <w:szCs w:val="16"/>
                <w:color w:val="0000FF"/>
              </w:rPr>
            </w:pPr>
            <w:hyperlink r:id="rId15">
              <w:r>
                <w:rPr>
                  <w:rFonts w:ascii="Times New Roman" w:cs="Times New Roman" w:eastAsia="Times New Roman" w:hAnsi="Times New Roman"/>
                  <w:sz w:val="16"/>
                  <w:szCs w:val="16"/>
                  <w:color w:val="0000FF"/>
                </w:rPr>
                <w:t>Executive Severance Plan</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Incorporated by reference to Exhibit 10.18 on the Form S-1 filed June 27, 2019</w:t>
      </w:r>
    </w:p>
    <w:p>
      <w:pPr>
        <w:spacing w:after="0" w:line="23"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Exhibit 10.1 to the Form 10-K/A filed April 30, 2025.</w:t>
      </w:r>
    </w:p>
    <w:p>
      <w:pPr>
        <w:spacing w:after="0" w:line="8" w:lineRule="exact"/>
        <w:rPr>
          <w:rFonts w:ascii="Times New Roman" w:cs="Times New Roman" w:eastAsia="Times New Roman" w:hAnsi="Times New Roman"/>
          <w:sz w:val="16"/>
          <w:szCs w:val="16"/>
          <w:color w:val="auto"/>
        </w:rPr>
      </w:pPr>
    </w:p>
    <w:p>
      <w:pPr>
        <w:ind w:left="300" w:hanging="292"/>
        <w:spacing w:after="0"/>
        <w:tabs>
          <w:tab w:leader="none" w:pos="3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Exhibit 10.16 to the Form S-1/A filed July 12, 2019</w:t>
      </w:r>
    </w:p>
    <w:p>
      <w:pPr>
        <w:spacing w:after="0" w:line="15"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line="21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HEALTH CATALYST, INC.</w:t>
      </w:r>
    </w:p>
    <w:p>
      <w:pPr>
        <w:spacing w:after="0" w:line="283" w:lineRule="exact"/>
        <w:rPr>
          <w:sz w:val="20"/>
          <w:szCs w:val="20"/>
          <w:color w:val="auto"/>
        </w:rPr>
      </w:pPr>
    </w:p>
    <w:p>
      <w:pPr>
        <w:ind w:left="20"/>
        <w:spacing w:after="0"/>
        <w:tabs>
          <w:tab w:leader="none" w:pos="6900" w:val="left"/>
          <w:tab w:leader="none" w:pos="8660" w:val="left"/>
        </w:tabs>
        <w:rPr>
          <w:sz w:val="20"/>
          <w:szCs w:val="20"/>
          <w:color w:val="auto"/>
        </w:rPr>
      </w:pPr>
      <w:r>
        <w:rPr>
          <w:rFonts w:ascii="Times New Roman" w:cs="Times New Roman" w:eastAsia="Times New Roman" w:hAnsi="Times New Roman"/>
          <w:sz w:val="18"/>
          <w:szCs w:val="18"/>
          <w:color w:val="auto"/>
        </w:rPr>
        <w:t>Date: April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Alger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57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8"/>
          <w:szCs w:val="18"/>
          <w:color w:val="auto"/>
        </w:rPr>
        <w:t>Jason Alger</w:t>
      </w:r>
    </w:p>
    <w:p>
      <w:pPr>
        <w:spacing w:after="0" w:line="77"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600"/>
      </w:cols>
      <w:pgMar w:left="320" w:top="1440"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s://www.sec.gov/Archives/edgar/data/1636422/000162828019008426/exhibit1018s-1.htm" TargetMode="External"/><Relationship Id="rId14" Type="http://schemas.openxmlformats.org/officeDocument/2006/relationships/hyperlink" Target="https://www.sec.gov/Archives/edgar/data/1636422/000163642225000051/exhibit101non-employeedire.htm" TargetMode="External"/><Relationship Id="rId15" Type="http://schemas.openxmlformats.org/officeDocument/2006/relationships/hyperlink" Target="https://www.sec.gov/Archives/edgar/data/1636422/000162828019008720/exhibit1016s-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2026-04-27T08:04:06Z</dcterms:created>
  <dcterms:modified xsi:type="dcterms:W3CDTF">2026-04-27T08:04:06Z</dcterms:modified>
</cp:coreProperties>
</file>