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Health Catalyst,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0000FF"/>
        </w:rPr>
        <w:t>David Atterbury</w:t>
      </w:r>
    </w:p>
    <w:p>
      <w:pPr>
        <w:spacing w:after="0" w:line="8"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22"/>
          <w:szCs w:val="22"/>
          <w:b w:val="1"/>
          <w:bCs w:val="1"/>
          <w:color w:val="0000FF"/>
        </w:rPr>
        <w:t>2001 Shawnee Mission Pkwy,</w:t>
      </w:r>
    </w:p>
    <w:p>
      <w:pPr>
        <w:ind w:left="3600"/>
        <w:spacing w:after="0" w:line="230" w:lineRule="auto"/>
        <w:rPr>
          <w:sz w:val="20"/>
          <w:szCs w:val="20"/>
          <w:color w:val="auto"/>
        </w:rPr>
      </w:pPr>
      <w:r>
        <w:rPr>
          <w:rFonts w:ascii="Times New Roman" w:cs="Times New Roman" w:eastAsia="Times New Roman" w:hAnsi="Times New Roman"/>
          <w:sz w:val="22"/>
          <w:szCs w:val="22"/>
          <w:b w:val="1"/>
          <w:bCs w:val="1"/>
          <w:color w:val="0000FF"/>
        </w:rPr>
        <w:t>Mission Woods, KS, 66205</w:t>
      </w:r>
    </w:p>
    <w:p>
      <w:pPr>
        <w:spacing w:after="0" w:line="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0000FF"/>
        </w:rPr>
        <w:t>(913) 951-2700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Whetstone Capital Advisors LLC</w:t>
      </w:r>
    </w:p>
    <w:p>
      <w:pPr>
        <w:spacing w:after="0" w:line="8"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2"/>
          <w:szCs w:val="22"/>
          <w:b w:val="1"/>
          <w:bCs w:val="1"/>
          <w:color w:val="0000FF"/>
        </w:rPr>
        <w:t>2001 Shawnee Mission Pwky,</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Mission Woods, KS, 66205</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(913) 951-2700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06/04/2026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223"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1240"/>
          </w:cols>
          <w:pgMar w:left="320" w:top="866" w:right="339" w:bottom="223" w:gutter="0" w:footer="0" w:header="0"/>
          <w:type w:val="continuous"/>
        </w:sectPr>
      </w:pPr>
    </w:p>
    <w:bookmarkStart w:id="1" w:name="page2"/>
    <w:bookmarkEnd w:id="1"/>
    <w:p>
      <w:pPr>
        <w:ind w:left="1120" w:hanging="1112"/>
        <w:spacing w:after="0"/>
        <w:tabs>
          <w:tab w:leader="none" w:pos="11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Whetstone Capital Advisors, LLC</w:t>
      </w:r>
    </w:p>
    <w:p>
      <w:pPr>
        <w:spacing w:after="0" w:line="44"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KANSAS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3,285,690.00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3,285,690.00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3,285,690.00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David Atterbury</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2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if disclosure of legal proceedings is required pursuant to Items 2(d) or 2(e)</w:t>
      </w:r>
    </w:p>
    <w:p>
      <w:pPr>
        <w:sectPr>
          <w:pgSz w:w="11900" w:h="16838" w:orient="portrait"/>
          <w:cols w:equalWidth="0" w:num="1">
            <w:col w:w="10099"/>
          </w:cols>
          <w:pgMar w:left="360" w:top="111" w:right="1440" w:bottom="0" w:gutter="0" w:footer="0" w:header="0"/>
          <w:type w:val="continuous"/>
        </w:sectPr>
      </w:pPr>
    </w:p>
    <w:bookmarkStart w:id="2" w:name="page3"/>
    <w:bookmarkEnd w:id="2"/>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-305435</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3,285,690.00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3,285,690.00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3,285,690.00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IC</w:t>
      </w:r>
    </w:p>
    <w:p>
      <w:pPr>
        <w:spacing w:after="0" w:line="200" w:lineRule="exact"/>
        <w:rPr>
          <w:sz w:val="20"/>
          <w:szCs w:val="20"/>
          <w:color w:val="auto"/>
        </w:rPr>
      </w:pPr>
    </w:p>
    <w:p>
      <w:pPr>
        <w:sectPr>
          <w:pgSz w:w="11900" w:h="16838" w:orient="portrait"/>
          <w:cols w:equalWidth="0" w:num="2">
            <w:col w:w="1060" w:space="60"/>
            <w:col w:w="9980"/>
          </w:cols>
          <w:pgMar w:left="360" w:top="369" w:right="4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Health Catalyst,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10897 SOUTH RIVER FRONT PARKWAY, #300, SOUTH JORDAN, UTAH , 84095.</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This Amendment Number 2 (this ''Amendment'') to the Schedule 13D originally filed by the Reporting Persons on</w:t>
      </w:r>
    </w:p>
    <w:p>
      <w:pPr>
        <w:spacing w:after="0" w:line="14" w:lineRule="exact"/>
        <w:rPr>
          <w:sz w:val="20"/>
          <w:szCs w:val="20"/>
          <w:color w:val="auto"/>
        </w:rPr>
      </w:pPr>
    </w:p>
    <w:p>
      <w:pPr>
        <w:ind w:left="940" w:right="160" w:hanging="932"/>
        <w:spacing w:after="0" w:line="249" w:lineRule="auto"/>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January 20, 2026 (the ''Schedule 13D'') is being filed by Whetstone Capital Advisors, LLC (''WCA'') and Mr. David Atterbury (together, the ''Reporting Persons''). This Amendment amends the Schedule 13D as set forth below.</w:t>
      </w:r>
    </w:p>
    <w:p>
      <w:pPr>
        <w:spacing w:after="0" w:line="14" w:lineRule="exact"/>
        <w:rPr>
          <w:rFonts w:ascii="Times New Roman" w:cs="Times New Roman" w:eastAsia="Times New Roman" w:hAnsi="Times New Roman"/>
          <w:sz w:val="21"/>
          <w:szCs w:val="21"/>
          <w:color w:val="auto"/>
        </w:rPr>
      </w:pPr>
    </w:p>
    <w:p>
      <w:pPr>
        <w:ind w:left="940" w:right="420" w:hanging="932"/>
        <w:spacing w:after="0" w:line="185" w:lineRule="auto"/>
        <w:tabs>
          <w:tab w:leader="none" w:pos="94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principal business addresses of the Reporting Persons are as follows: 2001 Shawnee Mission Pkwy, Mission Woods, KS 66205</w:t>
      </w:r>
    </w:p>
    <w:p>
      <w:pPr>
        <w:spacing w:after="0" w:line="17" w:lineRule="exact"/>
        <w:rPr>
          <w:rFonts w:ascii="Times New Roman" w:cs="Times New Roman" w:eastAsia="Times New Roman" w:hAnsi="Times New Roman"/>
          <w:sz w:val="39"/>
          <w:szCs w:val="39"/>
          <w:color w:val="auto"/>
          <w:vertAlign w:val="subscript"/>
        </w:rPr>
      </w:pPr>
    </w:p>
    <w:p>
      <w:pPr>
        <w:ind w:left="94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WCA is a Kansas limited liability company and Mr. David Atterbury is the manager of WCA. WCA serves as the</w:t>
      </w:r>
    </w:p>
    <w:p>
      <w:pPr>
        <w:spacing w:after="0" w:line="14" w:lineRule="exact"/>
        <w:rPr>
          <w:rFonts w:ascii="Times New Roman" w:cs="Times New Roman" w:eastAsia="Times New Roman" w:hAnsi="Times New Roman"/>
          <w:sz w:val="39"/>
          <w:szCs w:val="39"/>
          <w:color w:val="auto"/>
          <w:vertAlign w:val="subscript"/>
        </w:rPr>
      </w:pPr>
    </w:p>
    <w:p>
      <w:pPr>
        <w:ind w:left="940" w:right="20" w:hanging="932"/>
        <w:spacing w:after="0" w:line="184" w:lineRule="auto"/>
        <w:tabs>
          <w:tab w:leader="none" w:pos="940" w:val="left"/>
        </w:tabs>
        <w:numPr>
          <w:ilvl w:val="0"/>
          <w:numId w:val="5"/>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investment advisor to certain private investment funds (the ''Funds''), which hold Common Stock of the Issuer, and may direct the vote and disposition of the Common Stock held by the Funds. As the manager of WCA, Mr. Atterbury may direct the vote and disposition of the Common Stock held by the Funds.</w:t>
      </w:r>
    </w:p>
    <w:p>
      <w:pPr>
        <w:spacing w:after="0" w:line="18" w:lineRule="exact"/>
        <w:rPr>
          <w:rFonts w:ascii="Times New Roman" w:cs="Times New Roman" w:eastAsia="Times New Roman" w:hAnsi="Times New Roman"/>
          <w:sz w:val="42"/>
          <w:szCs w:val="42"/>
          <w:color w:val="auto"/>
          <w:vertAlign w:val="subscript"/>
        </w:rPr>
      </w:pPr>
    </w:p>
    <w:p>
      <w:pPr>
        <w:ind w:left="94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During the last five years, neither the Reporting Persons (or a controlling entity thereof) nor any executive officer or</w:t>
      </w:r>
    </w:p>
    <w:p>
      <w:pPr>
        <w:spacing w:after="0" w:line="25" w:lineRule="exact"/>
        <w:rPr>
          <w:rFonts w:ascii="Times New Roman" w:cs="Times New Roman" w:eastAsia="Times New Roman" w:hAnsi="Times New Roman"/>
          <w:sz w:val="42"/>
          <w:szCs w:val="42"/>
          <w:color w:val="auto"/>
          <w:vertAlign w:val="subscript"/>
        </w:rPr>
      </w:pPr>
    </w:p>
    <w:p>
      <w:pPr>
        <w:ind w:left="940" w:right="100" w:hanging="932"/>
        <w:spacing w:after="0" w:line="237" w:lineRule="auto"/>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director of any of the Reporting Persons (or a controlling entity thereof) has been convicted in a criminal proceeding (excluding traffic violations or similar misdemeanors).</w:t>
      </w:r>
    </w:p>
    <w:p>
      <w:pPr>
        <w:spacing w:after="0" w:line="16"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During the last five years, neither the Reporting Persons (or a controlling entity thereof) nor any executive officer or</w:t>
      </w:r>
    </w:p>
    <w:p>
      <w:pPr>
        <w:spacing w:after="0" w:line="25" w:lineRule="exact"/>
        <w:rPr>
          <w:rFonts w:ascii="Times New Roman" w:cs="Times New Roman" w:eastAsia="Times New Roman" w:hAnsi="Times New Roman"/>
          <w:sz w:val="22"/>
          <w:szCs w:val="22"/>
          <w:color w:val="auto"/>
        </w:rPr>
      </w:pPr>
    </w:p>
    <w:p>
      <w:pPr>
        <w:ind w:left="940" w:right="300" w:hanging="932"/>
        <w:spacing w:after="0" w:line="237" w:lineRule="auto"/>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director of any of the Reporting Persons (or a controlling entity thereof) has been a party to a civil proceeding of a judicial or administrative body of competent jurisdiction.</w:t>
      </w:r>
    </w:p>
    <w:p>
      <w:pPr>
        <w:spacing w:after="0" w:line="16" w:lineRule="exact"/>
        <w:rPr>
          <w:rFonts w:ascii="Times New Roman" w:cs="Times New Roman" w:eastAsia="Times New Roman" w:hAnsi="Times New Roman"/>
          <w:sz w:val="22"/>
          <w:szCs w:val="22"/>
          <w:color w:val="auto"/>
        </w:rPr>
      </w:pPr>
    </w:p>
    <w:p>
      <w:pPr>
        <w:ind w:firstLine="8"/>
        <w:spacing w:after="0" w:line="309" w:lineRule="auto"/>
        <w:tabs>
          <w:tab w:leader="none" w:pos="932"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2(c) above for the place of organization of WCA. Mr. Atterbury is a citizen of the United States of America. Item 3. Source and Amount of Funds or Other Consideration</w:t>
      </w:r>
    </w:p>
    <w:p>
      <w:pPr>
        <w:sectPr>
          <w:pgSz w:w="11900" w:h="16838" w:orient="portrait"/>
          <w:cols w:equalWidth="0" w:num="1">
            <w:col w:w="11100"/>
          </w:cols>
          <w:pgMar w:left="360" w:top="369" w:right="439" w:bottom="0" w:gutter="0" w:footer="0" w:header="0"/>
          <w:type w:val="continuous"/>
        </w:sectPr>
      </w:pPr>
    </w:p>
    <w:bookmarkStart w:id="3" w:name="page4"/>
    <w:bookmarkEnd w:id="3"/>
    <w:p>
      <w:pPr>
        <w:ind w:left="940" w:right="100"/>
        <w:spacing w:after="0" w:line="259" w:lineRule="auto"/>
        <w:rPr>
          <w:sz w:val="20"/>
          <w:szCs w:val="20"/>
          <w:color w:val="auto"/>
        </w:rPr>
      </w:pPr>
      <w:r>
        <w:rPr>
          <w:rFonts w:ascii="Times New Roman" w:cs="Times New Roman" w:eastAsia="Times New Roman" w:hAnsi="Times New Roman"/>
          <w:sz w:val="21"/>
          <w:szCs w:val="21"/>
          <w:color w:val="auto"/>
        </w:rPr>
        <w:t>The Common Stock reported herein as being beneficially owned by the Reporting Persons was purchased using working capital of the Funds. An aggregate of approximately $7,829,759.62 (excluding brokerage commissions) was used to purchase the Common Stock reported as beneficially owned by the Reporting Persons in this Amendment.</w:t>
      </w:r>
    </w:p>
    <w:p>
      <w:pPr>
        <w:spacing w:after="0" w:line="2" w:lineRule="exact"/>
        <w:rPr>
          <w:sz w:val="20"/>
          <w:szCs w:val="20"/>
          <w:color w:val="auto"/>
        </w:rPr>
      </w:pPr>
    </w:p>
    <w:p>
      <w:pPr>
        <w:jc w:val="right"/>
        <w:ind w:right="8220"/>
        <w:spacing w:after="0"/>
        <w:tabs>
          <w:tab w:leader="none" w:pos="102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jc w:val="right"/>
        <w:ind w:right="8260"/>
        <w:spacing w:after="0"/>
        <w:rPr>
          <w:sz w:val="20"/>
          <w:szCs w:val="20"/>
          <w:color w:val="auto"/>
        </w:rPr>
      </w:pPr>
      <w:r>
        <w:rPr>
          <w:rFonts w:ascii="Times New Roman" w:cs="Times New Roman" w:eastAsia="Times New Roman" w:hAnsi="Times New Roman"/>
          <w:sz w:val="22"/>
          <w:szCs w:val="22"/>
          <w:color w:val="auto"/>
        </w:rPr>
        <w:t>See the Schedule 13D.</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20"/>
        <w:spacing w:after="0" w:line="253" w:lineRule="auto"/>
        <w:rPr>
          <w:sz w:val="20"/>
          <w:szCs w:val="20"/>
          <w:color w:val="auto"/>
        </w:rPr>
      </w:pPr>
      <w:r>
        <w:rPr>
          <w:rFonts w:ascii="Times New Roman" w:cs="Times New Roman" w:eastAsia="Times New Roman" w:hAnsi="Times New Roman"/>
          <w:sz w:val="21"/>
          <w:szCs w:val="21"/>
          <w:color w:val="auto"/>
        </w:rPr>
        <w:t>See rows (11) and (13) of the cover pages to this Amendment for the aggregate number of shares of Common Stock and percentage of the Common Stock beneficially owned by each of the Reporting Persons, which includes 1,515,000</w:t>
      </w:r>
    </w:p>
    <w:p>
      <w:pPr>
        <w:spacing w:after="0" w:line="1" w:lineRule="exact"/>
        <w:rPr>
          <w:sz w:val="20"/>
          <w:szCs w:val="20"/>
          <w:color w:val="auto"/>
        </w:rPr>
      </w:pPr>
    </w:p>
    <w:p>
      <w:pPr>
        <w:ind w:left="940" w:hanging="932"/>
        <w:spacing w:after="0" w:line="189" w:lineRule="auto"/>
        <w:tabs>
          <w:tab w:leader="none" w:pos="940" w:val="left"/>
        </w:tabs>
        <w:numPr>
          <w:ilvl w:val="0"/>
          <w:numId w:val="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of shares of Common Stock receivable upon exercise of long options held by the Reporting Persons. The percentages reported in this Amendment were calculated based upon the 70,894,020 shares of Common Stock issued and outstanding as of May 8, 2026, as reported in the Issuer's Quarterly Report on Form 10-Q filed with the Securities and Exchange Commission (the ''SEC'') on May 11, 2026.</w:t>
      </w:r>
    </w:p>
    <w:p>
      <w:pPr>
        <w:spacing w:after="0" w:line="14" w:lineRule="exact"/>
        <w:rPr>
          <w:rFonts w:ascii="Times New Roman" w:cs="Times New Roman" w:eastAsia="Times New Roman" w:hAnsi="Times New Roman"/>
          <w:sz w:val="43"/>
          <w:szCs w:val="43"/>
          <w:color w:val="auto"/>
          <w:vertAlign w:val="subscript"/>
        </w:rPr>
      </w:pPr>
    </w:p>
    <w:p>
      <w:pPr>
        <w:ind w:left="94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See rows (7) through (10) of the cover pages to this Amendment for the number of shares of Common Stock as to</w:t>
      </w:r>
    </w:p>
    <w:p>
      <w:pPr>
        <w:spacing w:after="0" w:line="14" w:lineRule="exact"/>
        <w:rPr>
          <w:rFonts w:ascii="Times New Roman" w:cs="Times New Roman" w:eastAsia="Times New Roman" w:hAnsi="Times New Roman"/>
          <w:sz w:val="43"/>
          <w:szCs w:val="43"/>
          <w:color w:val="auto"/>
          <w:vertAlign w:val="subscript"/>
        </w:rPr>
      </w:pPr>
    </w:p>
    <w:p>
      <w:pPr>
        <w:ind w:left="940" w:right="40" w:hanging="932"/>
        <w:spacing w:after="0" w:line="184" w:lineRule="auto"/>
        <w:tabs>
          <w:tab w:leader="none" w:pos="940" w:val="left"/>
        </w:tabs>
        <w:numPr>
          <w:ilvl w:val="0"/>
          <w:numId w:val="6"/>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which each Reporting Person has the sole or shared power to vote or direct the vote and sole or shared power to dispose or to direct the disposition, which includes 1,515,000 of shares of Common Stock receivable upon exercise of long options held by Reporting Persons.</w:t>
      </w:r>
    </w:p>
    <w:p>
      <w:pPr>
        <w:spacing w:after="0" w:line="18" w:lineRule="exact"/>
        <w:rPr>
          <w:rFonts w:ascii="Times New Roman" w:cs="Times New Roman" w:eastAsia="Times New Roman" w:hAnsi="Times New Roman"/>
          <w:sz w:val="42"/>
          <w:szCs w:val="42"/>
          <w:color w:val="auto"/>
          <w:vertAlign w:val="subscript"/>
        </w:rPr>
      </w:pPr>
    </w:p>
    <w:p>
      <w:pPr>
        <w:ind w:left="940" w:right="80" w:hanging="932"/>
        <w:spacing w:after="0" w:line="185" w:lineRule="auto"/>
        <w:tabs>
          <w:tab w:leader="none" w:pos="94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transactions effected by the Reporting Persons in the Common Stock of the Issuer in the previous sixty (60) days are set forth in Schedule A. All such transactions were effected in the open market.</w:t>
      </w:r>
    </w:p>
    <w:p>
      <w:pPr>
        <w:spacing w:after="0" w:line="17" w:lineRule="exact"/>
        <w:rPr>
          <w:rFonts w:ascii="Times New Roman" w:cs="Times New Roman" w:eastAsia="Times New Roman" w:hAnsi="Times New Roman"/>
          <w:sz w:val="39"/>
          <w:szCs w:val="39"/>
          <w:color w:val="auto"/>
          <w:vertAlign w:val="subscript"/>
        </w:rPr>
      </w:pPr>
    </w:p>
    <w:p>
      <w:pPr>
        <w:ind w:left="940" w:right="220" w:hanging="932"/>
        <w:spacing w:after="0" w:line="185" w:lineRule="auto"/>
        <w:tabs>
          <w:tab w:leader="none" w:pos="94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Other than the Funds and the Reporting Persons, no other person is known to have the right to receive, or the power to direct the receipt of, dividends from or proceeds from the sale, of the Common Stock.</w:t>
      </w:r>
    </w:p>
    <w:p>
      <w:pPr>
        <w:spacing w:after="0" w:line="17" w:lineRule="exact"/>
        <w:rPr>
          <w:rFonts w:ascii="Times New Roman" w:cs="Times New Roman" w:eastAsia="Times New Roman" w:hAnsi="Times New Roman"/>
          <w:sz w:val="39"/>
          <w:szCs w:val="39"/>
          <w:color w:val="auto"/>
          <w:vertAlign w:val="subscript"/>
        </w:rPr>
      </w:pPr>
    </w:p>
    <w:p>
      <w:pPr>
        <w:ind w:left="940" w:hanging="932"/>
        <w:spacing w:after="0"/>
        <w:tabs>
          <w:tab w:leader="none" w:pos="9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June 4, 2026</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40"/>
        <w:spacing w:after="0" w:line="235" w:lineRule="auto"/>
        <w:rPr>
          <w:sz w:val="20"/>
          <w:szCs w:val="20"/>
          <w:color w:val="auto"/>
        </w:rPr>
      </w:pPr>
      <w:r>
        <w:rPr>
          <w:rFonts w:ascii="Times New Roman" w:cs="Times New Roman" w:eastAsia="Times New Roman" w:hAnsi="Times New Roman"/>
          <w:sz w:val="22"/>
          <w:szCs w:val="22"/>
          <w:color w:val="auto"/>
        </w:rPr>
        <w:t>The Reporting Persons own 15,150 of long options exercisable for 1,515,000 shares of Common Stock until December 18, 2026 and has sold short 30,030 for Common Stock exercisable until December 18, 2026. Other than as disclosed in this Item 6, there are no contracts, arrangements, understandings or relationships (legal or otherwise) among any Reporting Person or between such persons and any person with respect to any securities of the Issuer, including any class of the Issuer's securities used as a reference security, in connection with any of the following: call options, put options, security-based swaps or any other derivative securities, transfer or voting of any of the securities, finder's fees, joint ventures, loan or option arrangements, guarantees of profits, division of profits or loss, or the giving or withholding of proxies.</w:t>
      </w:r>
    </w:p>
    <w:p>
      <w:pPr>
        <w:spacing w:after="0" w:line="2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Whetstone Capital Advisors, LLC</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Atterbury</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Manager</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06/08/2026</w:t>
      </w:r>
    </w:p>
    <w:p>
      <w:pPr>
        <w:spacing w:after="0" w:line="1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David Atterbury</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Atterbury</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David Atterbury</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06/08/2026</w:t>
      </w:r>
    </w:p>
    <w:sectPr>
      <w:pgSz w:w="11900" w:h="16838" w:orient="portrait"/>
      <w:cols w:equalWidth="0" w:num="1">
        <w:col w:w="11160"/>
      </w:cols>
      <w:pgMar w:left="360" w:top="11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bullet"/>
      <w:start w:val="1"/>
    </w:lvl>
  </w:abstractNum>
  <w:abstractNum w:abstractNumId="1">
    <w:nsid w:val="625558EC"/>
    <w:multiLevelType w:val="hybridMultilevel"/>
    <w:lvl w:ilvl="0">
      <w:lvlJc w:val="left"/>
      <w:lvlText w:val="2"/>
      <w:numFmt w:val="bullet"/>
      <w:start w:val="1"/>
    </w:lvl>
  </w:abstractNum>
  <w:abstractNum w:abstractNumId="2">
    <w:nsid w:val="238E1F29"/>
    <w:multiLevelType w:val="hybridMultilevel"/>
    <w:lvl w:ilvl="0">
      <w:lvlJc w:val="left"/>
      <w:lvlText w:val="3"/>
      <w:numFmt w:val="bullet"/>
      <w:start w:val="1"/>
    </w:lvl>
  </w:abstractNum>
  <w:abstractNum w:abstractNumId="3">
    <w:nsid w:val="46E87CCD"/>
    <w:multiLevelType w:val="hybridMultilevel"/>
    <w:lvl w:ilvl="0">
      <w:lvlJc w:val="left"/>
      <w:lvlText w:val="5"/>
      <w:numFmt w:val="bullet"/>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2026-06-08T18:13:36Z</dcterms:created>
  <dcterms:modified xsi:type="dcterms:W3CDTF">2026-06-08T18:13:36Z</dcterms:modified>
</cp:coreProperties>
</file>